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7616389"/>
    <w:p w14:paraId="5CB4FE79" w14:textId="77777777" w:rsidR="00BE0B3F" w:rsidRPr="00AA6204" w:rsidRDefault="00BE0B3F" w:rsidP="00BE0B3F">
      <w:pPr>
        <w:pStyle w:val="ListParagraph"/>
        <w:ind w:left="1080"/>
        <w:rPr>
          <w:b/>
          <w:bCs/>
        </w:rPr>
      </w:pPr>
      <w:r w:rsidRPr="00AA6204">
        <w:rPr>
          <w:rFonts w:eastAsiaTheme="majorEastAsia"/>
          <w:noProof/>
        </w:rPr>
        <mc:AlternateContent>
          <mc:Choice Requires="wps">
            <w:drawing>
              <wp:anchor distT="0" distB="0" distL="114300" distR="114300" simplePos="0" relativeHeight="251659264" behindDoc="0" locked="0" layoutInCell="1" allowOverlap="1" wp14:anchorId="14B1739A" wp14:editId="76AC95B0">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9E60A7E" w14:textId="77777777" w:rsidR="00BE0B3F" w:rsidRDefault="00BE0B3F" w:rsidP="00BE0B3F">
                            <w:r>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4B1739A" id="_x0000_t202" coordsize="21600,21600" o:spt="202" path="m,l,21600r21600,l21600,xe">
                <v:stroke joinstyle="miter"/>
                <v:path gradientshapeok="t" o:connecttype="rect"/>
              </v:shapetype>
              <v:shape id="Text Box 3" o:spid="_x0000_s1026" type="#_x0000_t202" style="position:absolute;left:0;text-align:left;margin-left:-9948.1pt;margin-top:-79965.35pt;width:389.95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iHgIAACAEAAAOAAAAZHJzL2Uyb0RvYy54bWysU0uP2jAQvlfqf7B8LyHhsQsirOiuqCqh&#10;7krsqmfj2CSS7XFtQ0J/fccOsKjtqerFHs/T8803i4dOK3IUzjdgSpoPhpQIw6FqzL6kb6/rT/eU&#10;+MBMxRQYUdKT8PRh+fHDorVzUUANqhKOYBLj560taR2CnWeZ57XQzA/ACoNGCU6zgE+3zyrHWsyu&#10;VVYMh9OsBVdZB1x4j9qn3kiXKb+UgodnKb0IRJUU/xbS6dK5i2e2XLD53jFbN/z8DfYPv9CsMVj0&#10;muqJBUYOrvkjlW64Aw8yDDjoDKRsuEg9YDf58LdutjWzIvWC4Hh7hcn/v7T82/HFkabC2RWj2fSu&#10;KPIRJYZpnNWr6AL5DB0ZRZha6+fovbXoHzpUY8hF71EZu++k0/HGvgjaEfDTFeSYjKNyPJsUo+mE&#10;Eo62YnaX36cpZO/R1vnwRYAmUSipwyEmbNlx4wP+BF0vLrGYgXWjVBqkMqQt6XQ0GaaAqwUjlMHA&#10;2EP/1yiFbtedG9tBdcK+HPQE8ZavGyy+YT68MIeMwFaQ5eEZD6kAi8BZoqQG9/Nv+uiPg0IrJS0y&#10;rKT+x4E5QYn6anCEs3w8jpRMj/HkrsCHu7Xsbi3moB8BSZzjPlmexOgf1EWUDvR3XIZVrIomZjjW&#10;Lmm4iI+h5z0uExerVXJCEloWNmZreUzdw7k6BJBNQjrC1GNzRg9pmAZwXpnI89t38npf7OUvAAAA&#10;//8DAFBLAwQUAAYACAAAACEA4a7Z9usAAAAZAQAADwAAAGRycy9kb3ducmV2LnhtbEyPy07DMBBF&#10;90j8gzVI7FrnoQY7xKmqSBUSgkVLN+wmiZtE+BFitw18Pa5YwG5G5+rOmWI9a0XOcnKDNQLiZQRE&#10;msa2g+kEHN62CwbEeTQtKmukgC/pYF3e3hSYt/ZidvK89x0JJcblKKD3fswpdU0vNbqlHaUJ7Ggn&#10;jT6sU0fbCS+hXCuaRFFGNQ4mXOhxlFUvm4/9SQt4rravuKsTzb5V9fRy3Iyfh/eVEPd38+YRiJez&#10;/wvDVT+oQxmcansyrSNKwCLmjGdJSF/nFedp9AAkBAOI4ywFUv8CxlIOtCzo/4/KHwAAAP//AwBQ&#10;SwECLQAUAAYACAAAACEAtoM4kv4AAADhAQAAEwAAAAAAAAAAAAAAAAAAAAAAW0NvbnRlbnRfVHlw&#10;ZXNdLnhtbFBLAQItABQABgAIAAAAIQA4/SH/1gAAAJQBAAALAAAAAAAAAAAAAAAAAC8BAABfcmVs&#10;cy8ucmVsc1BLAQItABQABgAIAAAAIQCy+TViHgIAACAEAAAOAAAAAAAAAAAAAAAAAC4CAABkcnMv&#10;ZTJvRG9jLnhtbFBLAQItABQABgAIAAAAIQDhrtn26wAAABkBAAAPAAAAAAAAAAAAAAAAAHgEAABk&#10;cnMvZG93bnJldi54bWxQSwUGAAAAAAQABADzAAAAkAUAAAAA&#10;" filled="f" stroked="f" strokeweight=".5pt">
                <v:textbox>
                  <w:txbxContent>
                    <w:p w14:paraId="29E60A7E" w14:textId="77777777" w:rsidR="00BE0B3F" w:rsidRDefault="00BE0B3F" w:rsidP="00BE0B3F">
                      <w:r>
                        <w:rPr>
                          <w:rFonts w:eastAsia="Calibri"/>
                        </w:rPr>
                        <w:t>Strengthening Institutional Capacity for Climate Change Adaptation Planning</w:t>
                      </w:r>
                    </w:p>
                  </w:txbxContent>
                </v:textbox>
              </v:shape>
            </w:pict>
          </mc:Fallback>
        </mc:AlternateContent>
      </w:r>
    </w:p>
    <w:p w14:paraId="26934D7D" w14:textId="77777777" w:rsidR="00BE0B3F" w:rsidRPr="00AA6204" w:rsidRDefault="00BE0B3F" w:rsidP="00BE0B3F">
      <w:pPr>
        <w:pStyle w:val="ListParagraph"/>
        <w:ind w:left="1080"/>
        <w:rPr>
          <w:b/>
          <w:bCs/>
        </w:rPr>
      </w:pPr>
    </w:p>
    <w:p w14:paraId="7C106C9A" w14:textId="77777777" w:rsidR="00BE0B3F" w:rsidRPr="00AA6204" w:rsidRDefault="00BE0B3F" w:rsidP="00BE0B3F">
      <w:pPr>
        <w:pStyle w:val="ListParagraph"/>
        <w:numPr>
          <w:ilvl w:val="0"/>
          <w:numId w:val="1"/>
        </w:numPr>
        <w:rPr>
          <w:b/>
          <w:bCs/>
        </w:rPr>
      </w:pPr>
      <w:r w:rsidRPr="00AA6204">
        <w:rPr>
          <w:b/>
          <w:bCs/>
        </w:rPr>
        <w:t>CONSULTANCY SUMMARY</w:t>
      </w:r>
    </w:p>
    <w:tbl>
      <w:tblPr>
        <w:tblStyle w:val="TableGrid"/>
        <w:tblW w:w="10350" w:type="dxa"/>
        <w:tblInd w:w="-365" w:type="dxa"/>
        <w:tblLook w:val="04A0" w:firstRow="1" w:lastRow="0" w:firstColumn="1" w:lastColumn="0" w:noHBand="0" w:noVBand="1"/>
      </w:tblPr>
      <w:tblGrid>
        <w:gridCol w:w="1260"/>
        <w:gridCol w:w="2970"/>
        <w:gridCol w:w="3690"/>
        <w:gridCol w:w="2430"/>
      </w:tblGrid>
      <w:tr w:rsidR="00BE0B3F" w:rsidRPr="00AA6204" w14:paraId="278C37AE" w14:textId="77777777" w:rsidTr="001F7A14">
        <w:tc>
          <w:tcPr>
            <w:tcW w:w="4230" w:type="dxa"/>
            <w:gridSpan w:val="2"/>
            <w:vAlign w:val="center"/>
          </w:tcPr>
          <w:p w14:paraId="1D2358FE" w14:textId="77777777" w:rsidR="00BE0B3F" w:rsidRPr="00AA6204" w:rsidRDefault="00BE0B3F" w:rsidP="001F7A14">
            <w:r w:rsidRPr="00AA6204">
              <w:t xml:space="preserve">Job Title </w:t>
            </w:r>
          </w:p>
        </w:tc>
        <w:tc>
          <w:tcPr>
            <w:tcW w:w="6120" w:type="dxa"/>
            <w:gridSpan w:val="2"/>
            <w:vAlign w:val="center"/>
          </w:tcPr>
          <w:p w14:paraId="7019C44A" w14:textId="17E77A8C" w:rsidR="00BE0B3F" w:rsidRPr="00AA6204" w:rsidRDefault="00BE0B3F" w:rsidP="001F7A14">
            <w:r w:rsidRPr="00AA6204">
              <w:t>National Climate Change and E</w:t>
            </w:r>
            <w:r w:rsidR="00FA339D" w:rsidRPr="00AA6204">
              <w:t xml:space="preserve">arly </w:t>
            </w:r>
            <w:r w:rsidRPr="00AA6204">
              <w:t>W</w:t>
            </w:r>
            <w:r w:rsidR="00FA339D" w:rsidRPr="00AA6204">
              <w:t>arning E</w:t>
            </w:r>
            <w:r w:rsidRPr="00AA6204">
              <w:t>xpert</w:t>
            </w:r>
          </w:p>
        </w:tc>
      </w:tr>
      <w:tr w:rsidR="00BE0B3F" w:rsidRPr="00AA6204" w14:paraId="4B80BE83" w14:textId="77777777" w:rsidTr="001F7A14">
        <w:tc>
          <w:tcPr>
            <w:tcW w:w="4230" w:type="dxa"/>
            <w:gridSpan w:val="2"/>
            <w:vAlign w:val="center"/>
          </w:tcPr>
          <w:p w14:paraId="4940DE29" w14:textId="77777777" w:rsidR="00BE0B3F" w:rsidRPr="00AA6204" w:rsidRDefault="00BE0B3F" w:rsidP="001F7A14">
            <w:r w:rsidRPr="00AA6204">
              <w:t>Division/Department</w:t>
            </w:r>
          </w:p>
        </w:tc>
        <w:tc>
          <w:tcPr>
            <w:tcW w:w="6120" w:type="dxa"/>
            <w:gridSpan w:val="2"/>
            <w:vAlign w:val="center"/>
          </w:tcPr>
          <w:p w14:paraId="58979D77" w14:textId="77777777" w:rsidR="00BE0B3F" w:rsidRPr="00AA6204" w:rsidRDefault="00BE0B3F" w:rsidP="001F7A14">
            <w:r w:rsidRPr="00AA6204">
              <w:t>Project: Enhancing the Resilience of Vulnerable Coastal Communities in Sinoe County, Liberia (ERVCCS)</w:t>
            </w:r>
          </w:p>
        </w:tc>
      </w:tr>
      <w:tr w:rsidR="00BE0B3F" w:rsidRPr="00AA6204" w14:paraId="09F7D565" w14:textId="77777777" w:rsidTr="001F7A14">
        <w:tc>
          <w:tcPr>
            <w:tcW w:w="4230" w:type="dxa"/>
            <w:gridSpan w:val="2"/>
            <w:vAlign w:val="center"/>
          </w:tcPr>
          <w:p w14:paraId="25199117" w14:textId="77777777" w:rsidR="00BE0B3F" w:rsidRPr="00AA6204" w:rsidRDefault="00BE0B3F" w:rsidP="001F7A14">
            <w:r w:rsidRPr="00AA6204">
              <w:t>Program/Project Number/</w:t>
            </w:r>
            <w:r w:rsidRPr="00AA6204">
              <w:rPr>
                <w:b/>
                <w:lang w:val="en-GB"/>
              </w:rPr>
              <w:t xml:space="preserve"> GEF Project ID number</w:t>
            </w:r>
          </w:p>
        </w:tc>
        <w:tc>
          <w:tcPr>
            <w:tcW w:w="6120" w:type="dxa"/>
            <w:gridSpan w:val="2"/>
            <w:vAlign w:val="center"/>
          </w:tcPr>
          <w:p w14:paraId="60DFEF9A" w14:textId="77777777" w:rsidR="00BE0B3F" w:rsidRPr="00AA6204" w:rsidRDefault="00BE0B3F" w:rsidP="001F7A14">
            <w:r w:rsidRPr="00AA6204">
              <w:rPr>
                <w:lang w:val="en-GB"/>
              </w:rPr>
              <w:t>10376</w:t>
            </w:r>
          </w:p>
        </w:tc>
      </w:tr>
      <w:tr w:rsidR="00BE0B3F" w:rsidRPr="00AA6204" w14:paraId="4CC915B8" w14:textId="77777777" w:rsidTr="000772C3">
        <w:trPr>
          <w:trHeight w:val="1453"/>
        </w:trPr>
        <w:tc>
          <w:tcPr>
            <w:tcW w:w="4230" w:type="dxa"/>
            <w:gridSpan w:val="2"/>
            <w:vAlign w:val="center"/>
          </w:tcPr>
          <w:p w14:paraId="03C22D21" w14:textId="77777777" w:rsidR="00BE0B3F" w:rsidRPr="00AA6204" w:rsidRDefault="00BE0B3F" w:rsidP="001F7A14">
            <w:r w:rsidRPr="00AA6204">
              <w:rPr>
                <w:rFonts w:eastAsia="Calibri"/>
              </w:rPr>
              <w:t>Activity Result</w:t>
            </w:r>
          </w:p>
        </w:tc>
        <w:tc>
          <w:tcPr>
            <w:tcW w:w="6120" w:type="dxa"/>
            <w:gridSpan w:val="2"/>
            <w:vAlign w:val="center"/>
          </w:tcPr>
          <w:p w14:paraId="5D86F5C7" w14:textId="1457D693" w:rsidR="007D0A42" w:rsidRPr="00AA6204" w:rsidRDefault="00783488" w:rsidP="00783488">
            <w:pPr>
              <w:pStyle w:val="ListParagraph"/>
              <w:numPr>
                <w:ilvl w:val="0"/>
                <w:numId w:val="8"/>
              </w:numPr>
            </w:pPr>
            <w:r w:rsidRPr="00AA6204">
              <w:t xml:space="preserve">Training Manuals </w:t>
            </w:r>
            <w:r w:rsidR="007D0A42" w:rsidRPr="00AA6204">
              <w:rPr>
                <w:lang w:val="en-GB"/>
              </w:rPr>
              <w:t xml:space="preserve">on incorporating </w:t>
            </w:r>
            <w:r w:rsidR="00E13102" w:rsidRPr="00AA6204">
              <w:rPr>
                <w:lang w:val="en-GB"/>
              </w:rPr>
              <w:t>C</w:t>
            </w:r>
            <w:r w:rsidR="007D0A42" w:rsidRPr="00AA6204">
              <w:rPr>
                <w:lang w:val="en-GB"/>
              </w:rPr>
              <w:t xml:space="preserve">limate </w:t>
            </w:r>
            <w:r w:rsidR="00E13102" w:rsidRPr="00AA6204">
              <w:rPr>
                <w:lang w:val="en-GB"/>
              </w:rPr>
              <w:t>C</w:t>
            </w:r>
            <w:r w:rsidR="007D0A42" w:rsidRPr="00AA6204">
              <w:rPr>
                <w:lang w:val="en-GB"/>
              </w:rPr>
              <w:t xml:space="preserve">hange into </w:t>
            </w:r>
            <w:r w:rsidR="00E13102" w:rsidRPr="00AA6204">
              <w:rPr>
                <w:lang w:val="en-GB"/>
              </w:rPr>
              <w:t>R</w:t>
            </w:r>
            <w:r w:rsidR="007D0A42" w:rsidRPr="00AA6204">
              <w:rPr>
                <w:lang w:val="en-GB"/>
              </w:rPr>
              <w:t xml:space="preserve">isk </w:t>
            </w:r>
            <w:r w:rsidR="00E13102" w:rsidRPr="00AA6204">
              <w:rPr>
                <w:lang w:val="en-GB"/>
              </w:rPr>
              <w:t>M</w:t>
            </w:r>
            <w:r w:rsidR="007D0A42" w:rsidRPr="00AA6204">
              <w:rPr>
                <w:lang w:val="en-GB"/>
              </w:rPr>
              <w:t>anagement and E</w:t>
            </w:r>
            <w:r w:rsidR="00E13102" w:rsidRPr="00AA6204">
              <w:rPr>
                <w:lang w:val="en-GB"/>
              </w:rPr>
              <w:t xml:space="preserve">arly Warning </w:t>
            </w:r>
            <w:r w:rsidR="007D0A42" w:rsidRPr="00AA6204">
              <w:rPr>
                <w:lang w:val="en-GB"/>
              </w:rPr>
              <w:t>S</w:t>
            </w:r>
            <w:r w:rsidR="00E13102" w:rsidRPr="00AA6204">
              <w:rPr>
                <w:lang w:val="en-GB"/>
              </w:rPr>
              <w:t>ystem</w:t>
            </w:r>
            <w:r w:rsidR="00355DDF">
              <w:rPr>
                <w:lang w:val="en-GB"/>
              </w:rPr>
              <w:t>s</w:t>
            </w:r>
          </w:p>
          <w:p w14:paraId="5268260A" w14:textId="77777777" w:rsidR="007D0A42" w:rsidRPr="00AA6204" w:rsidRDefault="007D0A42" w:rsidP="00783488">
            <w:pPr>
              <w:pStyle w:val="ListParagraph"/>
              <w:numPr>
                <w:ilvl w:val="0"/>
                <w:numId w:val="8"/>
              </w:numPr>
            </w:pPr>
            <w:r w:rsidRPr="00AA6204">
              <w:rPr>
                <w:lang w:val="en-GB"/>
              </w:rPr>
              <w:t>T</w:t>
            </w:r>
            <w:r w:rsidR="00783488" w:rsidRPr="00AA6204">
              <w:rPr>
                <w:lang w:val="en-GB"/>
              </w:rPr>
              <w:t xml:space="preserve">raining programme on EWS; and </w:t>
            </w:r>
          </w:p>
          <w:p w14:paraId="33A49A88" w14:textId="11F98E94" w:rsidR="00BE0B3F" w:rsidRPr="00AA6204" w:rsidRDefault="007D0A42" w:rsidP="00783488">
            <w:pPr>
              <w:pStyle w:val="ListParagraph"/>
              <w:numPr>
                <w:ilvl w:val="0"/>
                <w:numId w:val="8"/>
              </w:numPr>
            </w:pPr>
            <w:r w:rsidRPr="00AA6204">
              <w:rPr>
                <w:lang w:val="en-GB"/>
              </w:rPr>
              <w:t>A Comprehensive R</w:t>
            </w:r>
            <w:r w:rsidR="00783488" w:rsidRPr="00AA6204">
              <w:rPr>
                <w:lang w:val="en-GB"/>
              </w:rPr>
              <w:t xml:space="preserve">eport on </w:t>
            </w:r>
            <w:r w:rsidRPr="00AA6204">
              <w:rPr>
                <w:lang w:val="en-GB"/>
              </w:rPr>
              <w:t>T</w:t>
            </w:r>
            <w:r w:rsidR="00783488" w:rsidRPr="00AA6204">
              <w:rPr>
                <w:lang w:val="en-GB"/>
              </w:rPr>
              <w:t>raining delivered</w:t>
            </w:r>
          </w:p>
        </w:tc>
      </w:tr>
      <w:tr w:rsidR="00BE0B3F" w:rsidRPr="00AA6204" w14:paraId="4FDE6E44" w14:textId="77777777" w:rsidTr="001F7A14">
        <w:tc>
          <w:tcPr>
            <w:tcW w:w="4230" w:type="dxa"/>
            <w:gridSpan w:val="2"/>
            <w:vAlign w:val="center"/>
          </w:tcPr>
          <w:p w14:paraId="5953042A" w14:textId="77777777" w:rsidR="00BE0B3F" w:rsidRPr="00AA6204" w:rsidRDefault="00BE0B3F" w:rsidP="001F7A14">
            <w:r w:rsidRPr="00AA6204">
              <w:rPr>
                <w:rFonts w:eastAsia="Calibri"/>
              </w:rPr>
              <w:t>Assignment</w:t>
            </w:r>
          </w:p>
        </w:tc>
        <w:tc>
          <w:tcPr>
            <w:tcW w:w="6120" w:type="dxa"/>
            <w:gridSpan w:val="2"/>
            <w:vAlign w:val="center"/>
          </w:tcPr>
          <w:p w14:paraId="5AA7CFE8" w14:textId="1CB5E662" w:rsidR="00637D3D" w:rsidRPr="00AA6204" w:rsidRDefault="00783488" w:rsidP="00637D3D">
            <w:pPr>
              <w:pStyle w:val="ListParagraph"/>
              <w:numPr>
                <w:ilvl w:val="0"/>
                <w:numId w:val="9"/>
              </w:numPr>
              <w:rPr>
                <w:lang w:val="en-GB"/>
              </w:rPr>
            </w:pPr>
            <w:r w:rsidRPr="00AA6204">
              <w:rPr>
                <w:lang w:val="en-GB"/>
              </w:rPr>
              <w:t xml:space="preserve">Design Training Programme on Climate Change and Early-Warning Systems (EWS) </w:t>
            </w:r>
            <w:r w:rsidR="00355DDF">
              <w:rPr>
                <w:lang w:val="en-GB"/>
              </w:rPr>
              <w:t>for the</w:t>
            </w:r>
            <w:r w:rsidRPr="00AA6204">
              <w:rPr>
                <w:lang w:val="en-GB"/>
              </w:rPr>
              <w:t xml:space="preserve"> Liberia Meteorological Service staff</w:t>
            </w:r>
          </w:p>
          <w:p w14:paraId="1FC7DC01" w14:textId="0685EB7D" w:rsidR="00783488" w:rsidRPr="00AA6204" w:rsidRDefault="00783488" w:rsidP="00637D3D">
            <w:pPr>
              <w:pStyle w:val="ListParagraph"/>
              <w:numPr>
                <w:ilvl w:val="0"/>
                <w:numId w:val="9"/>
              </w:numPr>
              <w:rPr>
                <w:lang w:val="en-GB"/>
              </w:rPr>
            </w:pPr>
            <w:r w:rsidRPr="00AA6204">
              <w:rPr>
                <w:lang w:val="en-GB"/>
              </w:rPr>
              <w:t>Deliver Training on EWS to Information Services and End Users</w:t>
            </w:r>
          </w:p>
          <w:p w14:paraId="34C6F62A" w14:textId="700E0A5B" w:rsidR="00783488" w:rsidRPr="00AA6204" w:rsidRDefault="00783488" w:rsidP="00BE0B3F">
            <w:pPr>
              <w:jc w:val="both"/>
            </w:pPr>
          </w:p>
        </w:tc>
      </w:tr>
      <w:tr w:rsidR="00BE0B3F" w:rsidRPr="00AA6204" w14:paraId="60AD3AB8" w14:textId="77777777" w:rsidTr="001F7A14">
        <w:tc>
          <w:tcPr>
            <w:tcW w:w="4230" w:type="dxa"/>
            <w:gridSpan w:val="2"/>
            <w:vAlign w:val="center"/>
          </w:tcPr>
          <w:p w14:paraId="23390BB5" w14:textId="77777777" w:rsidR="00BE0B3F" w:rsidRPr="00AA6204" w:rsidRDefault="00BE0B3F" w:rsidP="001F7A14">
            <w:pPr>
              <w:rPr>
                <w:rFonts w:eastAsia="Calibri"/>
              </w:rPr>
            </w:pPr>
            <w:r w:rsidRPr="00AA6204">
              <w:t>Location</w:t>
            </w:r>
          </w:p>
        </w:tc>
        <w:tc>
          <w:tcPr>
            <w:tcW w:w="6120" w:type="dxa"/>
            <w:gridSpan w:val="2"/>
            <w:vAlign w:val="center"/>
          </w:tcPr>
          <w:p w14:paraId="5E82F2E6" w14:textId="0EB44A3A" w:rsidR="00BE0B3F" w:rsidRPr="00AA6204" w:rsidRDefault="00FA339D" w:rsidP="001E5C28">
            <w:pPr>
              <w:pStyle w:val="ListParagraph"/>
              <w:numPr>
                <w:ilvl w:val="0"/>
                <w:numId w:val="13"/>
              </w:numPr>
            </w:pPr>
            <w:r w:rsidRPr="00AA6204">
              <w:t>Within the Nine Coastal Counties of Liberia</w:t>
            </w:r>
          </w:p>
        </w:tc>
      </w:tr>
      <w:tr w:rsidR="00BE0B3F" w:rsidRPr="00AA6204" w14:paraId="0D67C35B" w14:textId="77777777" w:rsidTr="001F7A14">
        <w:tc>
          <w:tcPr>
            <w:tcW w:w="1260" w:type="dxa"/>
            <w:vAlign w:val="center"/>
          </w:tcPr>
          <w:p w14:paraId="70B28486" w14:textId="77777777" w:rsidR="00BE0B3F" w:rsidRPr="00AA6204" w:rsidRDefault="00BE0B3F" w:rsidP="001F7A14">
            <w:r w:rsidRPr="00AA6204">
              <w:t>Reports to</w:t>
            </w:r>
          </w:p>
        </w:tc>
        <w:tc>
          <w:tcPr>
            <w:tcW w:w="2970" w:type="dxa"/>
            <w:vAlign w:val="center"/>
          </w:tcPr>
          <w:p w14:paraId="0B93072A" w14:textId="33CEFEBB" w:rsidR="00BE0B3F" w:rsidRPr="00AA6204" w:rsidRDefault="00BE0B3F" w:rsidP="001F7A14">
            <w:r w:rsidRPr="00AA6204">
              <w:t>ERVCCS Project Manager who is under the Supervision of the Energy &amp; Environment (E&amp;E) Coordinator</w:t>
            </w:r>
          </w:p>
        </w:tc>
        <w:tc>
          <w:tcPr>
            <w:tcW w:w="3690" w:type="dxa"/>
            <w:vAlign w:val="center"/>
          </w:tcPr>
          <w:p w14:paraId="22867AC0" w14:textId="77777777" w:rsidR="00BE0B3F" w:rsidRPr="00AA6204" w:rsidRDefault="00BE0B3F" w:rsidP="001F7A14">
            <w:r w:rsidRPr="00AA6204">
              <w:t>Consultancy Duration:</w:t>
            </w:r>
          </w:p>
        </w:tc>
        <w:tc>
          <w:tcPr>
            <w:tcW w:w="2430" w:type="dxa"/>
            <w:vAlign w:val="center"/>
          </w:tcPr>
          <w:p w14:paraId="1C1FDCD6" w14:textId="7BD6DED1" w:rsidR="00BE0B3F" w:rsidRPr="00AA6204" w:rsidRDefault="007D0A42" w:rsidP="001F7A14">
            <w:r w:rsidRPr="00AA6204">
              <w:t>6</w:t>
            </w:r>
            <w:r w:rsidR="00BE0B3F" w:rsidRPr="00AA6204">
              <w:t>0 days</w:t>
            </w:r>
            <w:r w:rsidRPr="00AA6204">
              <w:t xml:space="preserve"> </w:t>
            </w:r>
            <w:r w:rsidRPr="00A4192A">
              <w:t xml:space="preserve">over a period of </w:t>
            </w:r>
            <w:r w:rsidR="00B2239F" w:rsidRPr="00A4192A">
              <w:t>Six</w:t>
            </w:r>
            <w:r w:rsidRPr="00A4192A">
              <w:t xml:space="preserve"> Months</w:t>
            </w:r>
          </w:p>
        </w:tc>
      </w:tr>
    </w:tbl>
    <w:p w14:paraId="60BE23B8" w14:textId="77777777" w:rsidR="00BE0B3F" w:rsidRPr="00AA6204" w:rsidRDefault="00BE0B3F" w:rsidP="00BE0B3F"/>
    <w:p w14:paraId="796D2361" w14:textId="77777777" w:rsidR="00BE0B3F" w:rsidRPr="00AA6204" w:rsidRDefault="00BE0B3F" w:rsidP="00BE0B3F">
      <w:pPr>
        <w:pStyle w:val="ListParagraph"/>
        <w:numPr>
          <w:ilvl w:val="0"/>
          <w:numId w:val="1"/>
        </w:numPr>
        <w:rPr>
          <w:b/>
          <w:bCs/>
        </w:rPr>
      </w:pPr>
      <w:r w:rsidRPr="00AA6204">
        <w:rPr>
          <w:b/>
          <w:bCs/>
        </w:rPr>
        <w:t>PROJECT BACKGROUND</w:t>
      </w:r>
    </w:p>
    <w:tbl>
      <w:tblPr>
        <w:tblStyle w:val="TableGrid"/>
        <w:tblW w:w="10350" w:type="dxa"/>
        <w:tblInd w:w="-365" w:type="dxa"/>
        <w:tblLook w:val="04A0" w:firstRow="1" w:lastRow="0" w:firstColumn="1" w:lastColumn="0" w:noHBand="0" w:noVBand="1"/>
      </w:tblPr>
      <w:tblGrid>
        <w:gridCol w:w="10350"/>
      </w:tblGrid>
      <w:tr w:rsidR="00BE0B3F" w:rsidRPr="00AA6204" w14:paraId="2C4957E1" w14:textId="77777777" w:rsidTr="001F7A14">
        <w:tc>
          <w:tcPr>
            <w:tcW w:w="10350" w:type="dxa"/>
          </w:tcPr>
          <w:p w14:paraId="6AF342C3" w14:textId="77777777" w:rsidR="00BE0B3F" w:rsidRPr="00AA6204" w:rsidRDefault="00BE0B3F" w:rsidP="001F7A14">
            <w:pPr>
              <w:spacing w:line="276" w:lineRule="auto"/>
              <w:jc w:val="both"/>
              <w:rPr>
                <w:rFonts w:eastAsia="Calibri"/>
                <w:lang w:val="en-ZA"/>
              </w:rPr>
            </w:pPr>
            <w:r w:rsidRPr="00AA6204">
              <w:rPr>
                <w:rFonts w:eastAsia="Calibri"/>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11551CDE" w14:textId="77777777" w:rsidR="00BE0B3F" w:rsidRPr="00AA6204" w:rsidRDefault="00BE0B3F" w:rsidP="001F7A14">
            <w:pPr>
              <w:spacing w:line="276" w:lineRule="auto"/>
              <w:jc w:val="both"/>
              <w:rPr>
                <w:rFonts w:eastAsia="Calibri"/>
              </w:rPr>
            </w:pPr>
          </w:p>
          <w:p w14:paraId="09412507" w14:textId="77777777" w:rsidR="00BE0B3F" w:rsidRPr="00AA6204" w:rsidRDefault="00BE0B3F" w:rsidP="001F7A14">
            <w:pPr>
              <w:spacing w:line="276" w:lineRule="auto"/>
              <w:jc w:val="both"/>
              <w:rPr>
                <w:rFonts w:eastAsia="Calibri"/>
              </w:rPr>
            </w:pPr>
            <w:r w:rsidRPr="00AA6204">
              <w:rPr>
                <w:rFonts w:eastAsia="Calibri"/>
              </w:rPr>
              <w:t>The Government of Liberia (GoL),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GoL.</w:t>
            </w:r>
          </w:p>
          <w:p w14:paraId="23362FBF" w14:textId="77777777" w:rsidR="00BE0B3F" w:rsidRPr="00AA6204" w:rsidRDefault="00BE0B3F" w:rsidP="001F7A14">
            <w:pPr>
              <w:spacing w:line="276" w:lineRule="auto"/>
              <w:jc w:val="both"/>
              <w:rPr>
                <w:rFonts w:eastAsia="Calibri"/>
              </w:rPr>
            </w:pPr>
          </w:p>
          <w:p w14:paraId="70D280AF" w14:textId="77777777" w:rsidR="00BE0B3F" w:rsidRPr="00AA6204" w:rsidRDefault="00BE0B3F" w:rsidP="001F7A14">
            <w:pPr>
              <w:spacing w:line="276" w:lineRule="auto"/>
              <w:jc w:val="both"/>
              <w:rPr>
                <w:rFonts w:eastAsia="Calibri"/>
              </w:rPr>
            </w:pPr>
            <w:r w:rsidRPr="00AA6204">
              <w:rPr>
                <w:rFonts w:eastAsia="Calibri"/>
              </w:rPr>
              <w:t>The project aims to build on existing projects to strengthen the resilience of vulnerable coastal communities and their livelihoods to the impacts of climate change, focusing on women and youth. Specifically, project interventions include the following:</w:t>
            </w:r>
          </w:p>
          <w:p w14:paraId="569FB2A8" w14:textId="77777777" w:rsidR="00BE0B3F" w:rsidRPr="00AA6204" w:rsidRDefault="00BE0B3F" w:rsidP="001F7A14">
            <w:pPr>
              <w:spacing w:line="276" w:lineRule="auto"/>
              <w:jc w:val="both"/>
              <w:rPr>
                <w:rFonts w:eastAsia="Calibri"/>
              </w:rPr>
            </w:pPr>
          </w:p>
          <w:p w14:paraId="4795C540" w14:textId="77777777" w:rsidR="00BE0B3F" w:rsidRPr="00AA6204" w:rsidRDefault="00BE0B3F" w:rsidP="001F7A14">
            <w:r w:rsidRPr="00AA6204">
              <w:rPr>
                <w:rStyle w:val="Heading3Char"/>
                <w:rFonts w:cs="Times New Roman"/>
                <w:b/>
                <w:bCs/>
                <w:sz w:val="24"/>
                <w:szCs w:val="24"/>
              </w:rPr>
              <w:t>Component 1</w:t>
            </w:r>
            <w:r w:rsidRPr="00AA6204">
              <w:rPr>
                <w:rStyle w:val="Heading3Char"/>
                <w:rFonts w:cs="Times New Roman"/>
                <w:sz w:val="24"/>
                <w:szCs w:val="24"/>
              </w:rPr>
              <w:t>:</w:t>
            </w:r>
            <w:r w:rsidRPr="00AA6204">
              <w:rPr>
                <w:rFonts w:eastAsia="Calibri"/>
              </w:rPr>
              <w:t xml:space="preserve"> Strengthening Institutional Capacity for Climate Change Adaptation Planning  </w:t>
            </w:r>
          </w:p>
          <w:p w14:paraId="57BD0981" w14:textId="77777777" w:rsidR="00BE0B3F" w:rsidRPr="00AA6204" w:rsidRDefault="00BE0B3F" w:rsidP="001F7A14">
            <w:pPr>
              <w:spacing w:line="276" w:lineRule="auto"/>
              <w:jc w:val="both"/>
              <w:rPr>
                <w:rStyle w:val="Heading2Char"/>
                <w:rFonts w:ascii="Times New Roman" w:hAnsi="Times New Roman" w:cs="Times New Roman"/>
                <w:sz w:val="24"/>
                <w:szCs w:val="24"/>
              </w:rPr>
            </w:pPr>
            <w:r w:rsidRPr="00AA6204">
              <w:rPr>
                <w:rStyle w:val="Heading2Char"/>
                <w:rFonts w:ascii="Times New Roman" w:hAnsi="Times New Roman" w:cs="Times New Roman"/>
                <w:sz w:val="24"/>
                <w:szCs w:val="24"/>
              </w:rPr>
              <w:t>Component 2:</w:t>
            </w:r>
            <w:r w:rsidRPr="00AA6204">
              <w:rPr>
                <w:rFonts w:eastAsia="Calibri"/>
              </w:rPr>
              <w:t xml:space="preserve"> </w:t>
            </w:r>
            <w:r w:rsidRPr="00AA6204">
              <w:rPr>
                <w:lang w:val="en-GB"/>
              </w:rPr>
              <w:t>Innovation, technologies and climate information introduced for coastal adaptation planning.</w:t>
            </w:r>
          </w:p>
          <w:p w14:paraId="0A22913A" w14:textId="77777777" w:rsidR="00BE0B3F" w:rsidRPr="00AA6204" w:rsidRDefault="00BE0B3F" w:rsidP="001F7A14">
            <w:pPr>
              <w:spacing w:line="276" w:lineRule="auto"/>
              <w:jc w:val="both"/>
              <w:rPr>
                <w:rFonts w:eastAsia="Calibri"/>
              </w:rPr>
            </w:pPr>
            <w:r w:rsidRPr="00AA6204">
              <w:rPr>
                <w:rStyle w:val="Heading2Char"/>
                <w:rFonts w:ascii="Times New Roman" w:hAnsi="Times New Roman" w:cs="Times New Roman"/>
                <w:sz w:val="24"/>
                <w:szCs w:val="24"/>
              </w:rPr>
              <w:t>Component 3:</w:t>
            </w:r>
            <w:r w:rsidRPr="00AA6204">
              <w:rPr>
                <w:rFonts w:eastAsia="Calibri"/>
              </w:rPr>
              <w:t xml:space="preserve"> Introducing Engineered Hybrid Adaptation Solutions, and; </w:t>
            </w:r>
          </w:p>
          <w:p w14:paraId="6B2A1F1B" w14:textId="77777777" w:rsidR="00BE0B3F" w:rsidRPr="00AA6204" w:rsidRDefault="00BE0B3F" w:rsidP="001F7A14">
            <w:pPr>
              <w:spacing w:line="276" w:lineRule="auto"/>
              <w:jc w:val="both"/>
              <w:rPr>
                <w:rFonts w:eastAsia="Calibri"/>
              </w:rPr>
            </w:pPr>
            <w:r w:rsidRPr="00AA6204">
              <w:rPr>
                <w:rStyle w:val="Heading2Char"/>
                <w:rFonts w:ascii="Times New Roman" w:hAnsi="Times New Roman" w:cs="Times New Roman"/>
                <w:sz w:val="24"/>
                <w:szCs w:val="24"/>
              </w:rPr>
              <w:t xml:space="preserve">Component 4: </w:t>
            </w:r>
            <w:r w:rsidRPr="00AA6204">
              <w:rPr>
                <w:rFonts w:eastAsia="Calibri"/>
              </w:rPr>
              <w:t xml:space="preserve">Supporting Resilient Livelihood Diversification through Training and Improved Access to Finance. </w:t>
            </w:r>
          </w:p>
          <w:p w14:paraId="49F8421F" w14:textId="77777777" w:rsidR="00BE0B3F" w:rsidRPr="00AA6204" w:rsidRDefault="00BE0B3F" w:rsidP="001F7A14">
            <w:pPr>
              <w:spacing w:line="276" w:lineRule="auto"/>
              <w:jc w:val="both"/>
              <w:rPr>
                <w:rFonts w:eastAsia="Calibri"/>
              </w:rPr>
            </w:pPr>
          </w:p>
          <w:p w14:paraId="540D8E14" w14:textId="77777777" w:rsidR="00BE0B3F" w:rsidRPr="00AA6204" w:rsidRDefault="00BE0B3F" w:rsidP="001F7A14">
            <w:pPr>
              <w:spacing w:line="276" w:lineRule="auto"/>
              <w:jc w:val="both"/>
              <w:rPr>
                <w:rFonts w:eastAsia="Calibri"/>
              </w:rPr>
            </w:pPr>
            <w:r w:rsidRPr="00AA6204">
              <w:rPr>
                <w:rFonts w:eastAsia="Calibri"/>
              </w:rPr>
              <w:t>The majority of the above interventions will target all coastal counties in Liberia. In contrast, hybrid adaptation interventions will be explicitly implemented in Sinoe County, one of the country’s most vulnerable coastal counties.</w:t>
            </w:r>
          </w:p>
          <w:p w14:paraId="271087E8" w14:textId="77777777" w:rsidR="00BE0B3F" w:rsidRPr="00AA6204" w:rsidRDefault="00BE0B3F" w:rsidP="001F7A14">
            <w:pPr>
              <w:spacing w:line="276" w:lineRule="auto"/>
              <w:jc w:val="both"/>
              <w:rPr>
                <w:rFonts w:eastAsia="Calibri"/>
              </w:rPr>
            </w:pPr>
          </w:p>
          <w:p w14:paraId="403AA5AD" w14:textId="77777777" w:rsidR="00BE0B3F" w:rsidRPr="00AA6204" w:rsidRDefault="00BE0B3F" w:rsidP="001F7A14">
            <w:pPr>
              <w:spacing w:line="276" w:lineRule="auto"/>
              <w:jc w:val="both"/>
              <w:rPr>
                <w:rFonts w:eastAsia="Calibri"/>
              </w:rPr>
            </w:pPr>
            <w:r w:rsidRPr="00AA6204">
              <w:rPr>
                <w:rFonts w:eastAsia="Calibri"/>
              </w:rPr>
              <w:t>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Sinoe County, is exacerbated by the limited capacity of GoL to provide essential services and adequate support for, among other things, water and sanitation, healthcare, utility-scale energy, and road infrastructure.</w:t>
            </w:r>
          </w:p>
          <w:p w14:paraId="4DA5F936" w14:textId="7AAD0272" w:rsidR="003D0410" w:rsidRPr="003D0410" w:rsidRDefault="00486F88" w:rsidP="003D0410">
            <w:pPr>
              <w:pStyle w:val="Heading3"/>
              <w:outlineLvl w:val="2"/>
              <w:rPr>
                <w:rFonts w:cs="Times New Roman"/>
                <w:b/>
                <w:bCs/>
                <w:color w:val="auto"/>
                <w:sz w:val="24"/>
                <w:szCs w:val="24"/>
              </w:rPr>
            </w:pPr>
            <w:r w:rsidRPr="00AA6204">
              <w:rPr>
                <w:rFonts w:cs="Times New Roman"/>
                <w:b/>
                <w:bCs/>
                <w:color w:val="auto"/>
                <w:sz w:val="24"/>
                <w:szCs w:val="24"/>
              </w:rPr>
              <w:t>Objectives of the Task</w:t>
            </w:r>
          </w:p>
          <w:p w14:paraId="62693F44" w14:textId="1B2C71FA" w:rsidR="003D0410" w:rsidRDefault="003D0410" w:rsidP="003D0410">
            <w:pPr>
              <w:pStyle w:val="NormalWeb"/>
            </w:pPr>
            <w:r w:rsidRPr="00AA6204">
              <w:t>The</w:t>
            </w:r>
            <w:r>
              <w:t xml:space="preserve"> objective of the training is to </w:t>
            </w:r>
            <w:r w:rsidRPr="00AA6204">
              <w:t>strengthe</w:t>
            </w:r>
            <w:r>
              <w:t>n</w:t>
            </w:r>
            <w:r w:rsidRPr="00AA6204">
              <w:t xml:space="preserve"> the capacity of hydrometeorological observers, forecasters, and climatological technicians </w:t>
            </w:r>
            <w:r>
              <w:t>to</w:t>
            </w:r>
            <w:r w:rsidRPr="00AA6204">
              <w:t xml:space="preserve"> </w:t>
            </w:r>
            <w:r w:rsidR="00355DDF">
              <w:t>improve</w:t>
            </w:r>
            <w:r w:rsidRPr="00AA6204">
              <w:t xml:space="preserve"> risk management and enhance the Early Warning System (EWS). </w:t>
            </w:r>
            <w:r>
              <w:t xml:space="preserve">Knowledge </w:t>
            </w:r>
            <w:r w:rsidR="00355DDF">
              <w:t>acquired</w:t>
            </w:r>
            <w:r>
              <w:t xml:space="preserve"> from the training will be used by hydrometeorological technicians to forecast weather, manage </w:t>
            </w:r>
            <w:r w:rsidR="00355DDF">
              <w:t>disasters</w:t>
            </w:r>
            <w:r w:rsidR="00C957E3">
              <w:t>, promote sustainable and safe fishing, and aid farmers in agricultural activities to promote food security.</w:t>
            </w:r>
            <w:r>
              <w:t xml:space="preserve"> </w:t>
            </w:r>
          </w:p>
          <w:p w14:paraId="565A5484" w14:textId="0FF8F627" w:rsidR="003D0410" w:rsidRPr="003D0410" w:rsidRDefault="005E7363" w:rsidP="005E7363">
            <w:pPr>
              <w:pStyle w:val="NormalWeb"/>
            </w:pPr>
            <w:r>
              <w:t xml:space="preserve">The training is also geared towards achieving the following goals: </w:t>
            </w:r>
          </w:p>
          <w:p w14:paraId="69C5AA3D" w14:textId="1DD72EA4" w:rsidR="00474717" w:rsidRDefault="00474717" w:rsidP="006818F8">
            <w:pPr>
              <w:pStyle w:val="NormalWeb"/>
              <w:numPr>
                <w:ilvl w:val="0"/>
                <w:numId w:val="11"/>
              </w:numPr>
              <w:jc w:val="both"/>
            </w:pPr>
            <w:r w:rsidRPr="00AA6204">
              <w:lastRenderedPageBreak/>
              <w:t>Develop</w:t>
            </w:r>
            <w:r w:rsidR="005E7363">
              <w:t>ment of</w:t>
            </w:r>
            <w:r w:rsidRPr="00AA6204">
              <w:t xml:space="preserve"> training modules tailored to hydrometeorological observers, forecasters, and climatological technicians</w:t>
            </w:r>
            <w:r w:rsidR="005E7363">
              <w:t xml:space="preserve"> on the use, management, operations, and maintenance of the hydromet stations in </w:t>
            </w:r>
            <w:r w:rsidR="008877B3">
              <w:t>Rivercess and Sinoe counties.</w:t>
            </w:r>
          </w:p>
          <w:p w14:paraId="7F339033" w14:textId="5DF8B24A" w:rsidR="00486F88" w:rsidRPr="00AA6204" w:rsidRDefault="008877B3" w:rsidP="006818F8">
            <w:pPr>
              <w:pStyle w:val="NormalWeb"/>
              <w:numPr>
                <w:ilvl w:val="0"/>
                <w:numId w:val="11"/>
              </w:numPr>
              <w:jc w:val="both"/>
            </w:pPr>
            <w:r>
              <w:t>Enhance</w:t>
            </w:r>
            <w:r w:rsidR="00486F88" w:rsidRPr="00AA6204">
              <w:t xml:space="preserve"> </w:t>
            </w:r>
            <w:r w:rsidR="00355DDF">
              <w:t xml:space="preserve">the </w:t>
            </w:r>
            <w:r w:rsidR="00486F88" w:rsidRPr="00AA6204">
              <w:t>technical capacity of Liberia Meteorological Staff in climate change science, risk management, and E</w:t>
            </w:r>
            <w:r w:rsidR="00B32373" w:rsidRPr="00AA6204">
              <w:t xml:space="preserve">arly </w:t>
            </w:r>
            <w:r w:rsidR="00486F88" w:rsidRPr="00AA6204">
              <w:t>W</w:t>
            </w:r>
            <w:r w:rsidR="00B32373" w:rsidRPr="00AA6204">
              <w:t xml:space="preserve">arning </w:t>
            </w:r>
            <w:r w:rsidR="00486F88" w:rsidRPr="00AA6204">
              <w:t>S</w:t>
            </w:r>
            <w:r w:rsidR="00B32373" w:rsidRPr="00AA6204">
              <w:t>ystem I</w:t>
            </w:r>
            <w:r w:rsidR="00486F88" w:rsidRPr="00AA6204">
              <w:t>ntegration</w:t>
            </w:r>
            <w:r>
              <w:t>, as the skills obtained will be used for storm, flooding, and rainfall early</w:t>
            </w:r>
            <w:r w:rsidR="006818F8">
              <w:t xml:space="preserve"> warning, fisher men safety and coastal transport, disaster preparedness and response, and agricultural and environmental planning.</w:t>
            </w:r>
          </w:p>
          <w:p w14:paraId="0B39323F" w14:textId="3E65AF09" w:rsidR="00BE0B3F" w:rsidRPr="00355DDF" w:rsidRDefault="00486F88" w:rsidP="00355DDF">
            <w:pPr>
              <w:pStyle w:val="NormalWeb"/>
              <w:numPr>
                <w:ilvl w:val="0"/>
                <w:numId w:val="11"/>
              </w:numPr>
              <w:jc w:val="both"/>
            </w:pPr>
            <w:r w:rsidRPr="00AA6204">
              <w:t xml:space="preserve">Strengthen institutional </w:t>
            </w:r>
            <w:r w:rsidR="00474717">
              <w:t>and national</w:t>
            </w:r>
            <w:r w:rsidR="00474717" w:rsidRPr="00AA6204">
              <w:t xml:space="preserve"> </w:t>
            </w:r>
            <w:r w:rsidRPr="00AA6204">
              <w:t>ability to provide climate-informed early warnings for disaster risk reduction.</w:t>
            </w:r>
          </w:p>
        </w:tc>
      </w:tr>
    </w:tbl>
    <w:p w14:paraId="14BD2709" w14:textId="77777777" w:rsidR="00BE0B3F" w:rsidRPr="00AA6204" w:rsidRDefault="00BE0B3F" w:rsidP="00BE0B3F"/>
    <w:p w14:paraId="378F4502" w14:textId="77777777" w:rsidR="00BE0B3F" w:rsidRPr="00AA6204" w:rsidRDefault="00BE0B3F" w:rsidP="00BE0B3F">
      <w:pPr>
        <w:pStyle w:val="ListParagraph"/>
        <w:numPr>
          <w:ilvl w:val="0"/>
          <w:numId w:val="1"/>
        </w:numPr>
        <w:rPr>
          <w:b/>
          <w:bCs/>
        </w:rPr>
      </w:pPr>
      <w:r w:rsidRPr="00AA6204">
        <w:rPr>
          <w:b/>
          <w:bCs/>
        </w:rPr>
        <w:t>SCOPE OF WORK</w:t>
      </w:r>
    </w:p>
    <w:tbl>
      <w:tblPr>
        <w:tblStyle w:val="TableGrid"/>
        <w:tblW w:w="10260" w:type="dxa"/>
        <w:tblInd w:w="-365" w:type="dxa"/>
        <w:tblLook w:val="04A0" w:firstRow="1" w:lastRow="0" w:firstColumn="1" w:lastColumn="0" w:noHBand="0" w:noVBand="1"/>
      </w:tblPr>
      <w:tblGrid>
        <w:gridCol w:w="10260"/>
      </w:tblGrid>
      <w:tr w:rsidR="00BE0B3F" w:rsidRPr="00AA6204" w14:paraId="236A7024" w14:textId="77777777" w:rsidTr="001F7A14">
        <w:tc>
          <w:tcPr>
            <w:tcW w:w="10260" w:type="dxa"/>
          </w:tcPr>
          <w:p w14:paraId="0E57352C" w14:textId="72F7F298" w:rsidR="00BE0B3F" w:rsidRPr="00AA6204" w:rsidRDefault="00BE0B3F" w:rsidP="000772C3">
            <w:pPr>
              <w:rPr>
                <w:lang w:val="en-GB"/>
              </w:rPr>
            </w:pPr>
            <w:r w:rsidRPr="00AA6204">
              <w:t>Under Component T</w:t>
            </w:r>
            <w:r w:rsidR="00A930BA" w:rsidRPr="00AA6204">
              <w:t>wo</w:t>
            </w:r>
            <w:r w:rsidRPr="00AA6204">
              <w:t xml:space="preserve"> of the project, the consultant will </w:t>
            </w:r>
            <w:r w:rsidR="000772C3" w:rsidRPr="00AA6204">
              <w:t xml:space="preserve">design and deliver </w:t>
            </w:r>
            <w:r w:rsidR="002A243C">
              <w:t xml:space="preserve">a </w:t>
            </w:r>
            <w:r w:rsidR="00A42051">
              <w:t>t</w:t>
            </w:r>
            <w:r w:rsidR="000772C3" w:rsidRPr="00AA6204">
              <w:rPr>
                <w:lang w:val="en-GB"/>
              </w:rPr>
              <w:t xml:space="preserve">raining </w:t>
            </w:r>
            <w:r w:rsidR="00A42051">
              <w:rPr>
                <w:lang w:val="en-GB"/>
              </w:rPr>
              <w:t>p</w:t>
            </w:r>
            <w:r w:rsidR="000772C3" w:rsidRPr="00AA6204">
              <w:rPr>
                <w:lang w:val="en-GB"/>
              </w:rPr>
              <w:t xml:space="preserve">rogramme on Climate Change and Early-Warning Systems (EWS) to </w:t>
            </w:r>
            <w:r w:rsidR="002A243C">
              <w:rPr>
                <w:lang w:val="en-GB"/>
              </w:rPr>
              <w:t xml:space="preserve">the </w:t>
            </w:r>
            <w:r w:rsidR="000772C3" w:rsidRPr="00AA6204">
              <w:rPr>
                <w:lang w:val="en-GB"/>
              </w:rPr>
              <w:t>Liberia Meteorological Service staff and End Users</w:t>
            </w:r>
          </w:p>
          <w:p w14:paraId="1B01ECC3" w14:textId="5C5A72E0" w:rsidR="00A930BA" w:rsidRPr="00AA6204" w:rsidRDefault="00A930BA" w:rsidP="00A930BA">
            <w:pPr>
              <w:pStyle w:val="NormalWeb"/>
            </w:pPr>
            <w:r w:rsidRPr="00AA6204">
              <w:t>The Expert will</w:t>
            </w:r>
            <w:r w:rsidR="000772C3" w:rsidRPr="00AA6204">
              <w:t xml:space="preserve"> perform the following tasks</w:t>
            </w:r>
            <w:r w:rsidRPr="00AA6204">
              <w:t>:</w:t>
            </w:r>
          </w:p>
          <w:p w14:paraId="33E4C3F7" w14:textId="2108E56A" w:rsidR="00A930BA" w:rsidRPr="00AA6204" w:rsidRDefault="00A930BA" w:rsidP="00247A07">
            <w:pPr>
              <w:pStyle w:val="NormalWeb"/>
              <w:numPr>
                <w:ilvl w:val="0"/>
                <w:numId w:val="3"/>
              </w:numPr>
              <w:jc w:val="both"/>
            </w:pPr>
            <w:r w:rsidRPr="00AA6204">
              <w:rPr>
                <w:rStyle w:val="Strong"/>
              </w:rPr>
              <w:t>Training Needs Assessment</w:t>
            </w:r>
            <w:r w:rsidRPr="00AA6204">
              <w:t xml:space="preserve">: Conduct </w:t>
            </w:r>
            <w:r w:rsidR="00474717">
              <w:t xml:space="preserve">a comprehensive </w:t>
            </w:r>
            <w:r w:rsidRPr="002A243C">
              <w:t>baseline assessment</w:t>
            </w:r>
            <w:r w:rsidRPr="00AA6204">
              <w:t xml:space="preserve"> of current skills and knowledge gaps</w:t>
            </w:r>
            <w:r w:rsidR="00072962" w:rsidRPr="00AA6204">
              <w:rPr>
                <w:color w:val="222222"/>
                <w:shd w:val="clear" w:color="auto" w:fill="FFFFFF"/>
              </w:rPr>
              <w:t xml:space="preserve"> of hydrometeorological observers, forecasters, and climatological technicians regarding climate change and risk management</w:t>
            </w:r>
            <w:r w:rsidR="00A42051">
              <w:rPr>
                <w:color w:val="222222"/>
                <w:shd w:val="clear" w:color="auto" w:fill="FFFFFF"/>
              </w:rPr>
              <w:t xml:space="preserve"> regarding the use of the automatic weather stations and synoptic stations</w:t>
            </w:r>
            <w:r w:rsidR="002A243C">
              <w:rPr>
                <w:color w:val="222222"/>
                <w:shd w:val="clear" w:color="auto" w:fill="FFFFFF"/>
              </w:rPr>
              <w:t>.</w:t>
            </w:r>
          </w:p>
          <w:p w14:paraId="6A3EB8E0" w14:textId="2519DED2" w:rsidR="00A930BA" w:rsidRPr="00AA6204" w:rsidRDefault="00A930BA" w:rsidP="00247A07">
            <w:pPr>
              <w:pStyle w:val="NormalWeb"/>
              <w:numPr>
                <w:ilvl w:val="0"/>
                <w:numId w:val="3"/>
              </w:numPr>
              <w:jc w:val="both"/>
            </w:pPr>
            <w:r w:rsidRPr="00AA6204">
              <w:rPr>
                <w:rStyle w:val="Strong"/>
              </w:rPr>
              <w:t>Curriculum Development</w:t>
            </w:r>
            <w:r w:rsidRPr="00AA6204">
              <w:t>:</w:t>
            </w:r>
            <w:r w:rsidR="00072962" w:rsidRPr="00AA6204">
              <w:t xml:space="preserve"> </w:t>
            </w:r>
            <w:r w:rsidR="00072962" w:rsidRPr="00AA6204">
              <w:rPr>
                <w:color w:val="222222"/>
                <w:shd w:val="clear" w:color="auto" w:fill="FFFFFF"/>
              </w:rPr>
              <w:t>Design a training curriculum that addresses identified gaps, incorporating best practices and methodologies related to climate change and early warning systems</w:t>
            </w:r>
            <w:r w:rsidR="00A42051">
              <w:rPr>
                <w:color w:val="222222"/>
                <w:shd w:val="clear" w:color="auto" w:fill="FFFFFF"/>
              </w:rPr>
              <w:t xml:space="preserve">, and how one can use the stations to collect and transmit </w:t>
            </w:r>
            <w:r w:rsidR="00247A07">
              <w:rPr>
                <w:color w:val="222222"/>
                <w:shd w:val="clear" w:color="auto" w:fill="FFFFFF"/>
              </w:rPr>
              <w:t>data.</w:t>
            </w:r>
          </w:p>
          <w:p w14:paraId="20D91F45" w14:textId="77777777" w:rsidR="00CC5B16" w:rsidRPr="00CC5B16" w:rsidRDefault="00A930BA" w:rsidP="00247A07">
            <w:pPr>
              <w:pStyle w:val="NoSpacing"/>
              <w:numPr>
                <w:ilvl w:val="0"/>
                <w:numId w:val="3"/>
              </w:numPr>
              <w:jc w:val="both"/>
              <w:rPr>
                <w:rFonts w:ascii="Times New Roman" w:hAnsi="Times New Roman" w:cs="Times New Roman"/>
                <w:sz w:val="24"/>
                <w:szCs w:val="24"/>
              </w:rPr>
            </w:pPr>
            <w:r w:rsidRPr="00CC5B16">
              <w:rPr>
                <w:rStyle w:val="Strong"/>
                <w:rFonts w:ascii="Times New Roman" w:hAnsi="Times New Roman" w:cs="Times New Roman"/>
                <w:sz w:val="24"/>
                <w:szCs w:val="24"/>
              </w:rPr>
              <w:t>Capacity Building</w:t>
            </w:r>
            <w:r w:rsidRPr="00CC5B16">
              <w:rPr>
                <w:rFonts w:ascii="Times New Roman" w:hAnsi="Times New Roman" w:cs="Times New Roman"/>
                <w:sz w:val="24"/>
                <w:szCs w:val="24"/>
              </w:rPr>
              <w:t xml:space="preserve">: </w:t>
            </w:r>
            <w:r w:rsidR="00CC5B16" w:rsidRPr="00CC5B16">
              <w:rPr>
                <w:rFonts w:ascii="Times New Roman" w:hAnsi="Times New Roman" w:cs="Times New Roman"/>
                <w:sz w:val="24"/>
                <w:szCs w:val="24"/>
              </w:rPr>
              <w:t>Develop training materials, guides, and tools that trainees can use in their daily operations</w:t>
            </w:r>
          </w:p>
          <w:p w14:paraId="5F431109" w14:textId="77777777" w:rsidR="00247A07" w:rsidRPr="00247A07" w:rsidRDefault="00A930BA" w:rsidP="00247A07">
            <w:pPr>
              <w:pStyle w:val="NoSpacing"/>
              <w:numPr>
                <w:ilvl w:val="0"/>
                <w:numId w:val="16"/>
              </w:numPr>
              <w:jc w:val="both"/>
              <w:rPr>
                <w:rFonts w:ascii="Times New Roman" w:hAnsi="Times New Roman" w:cs="Times New Roman"/>
                <w:sz w:val="24"/>
                <w:szCs w:val="24"/>
              </w:rPr>
            </w:pPr>
            <w:r w:rsidRPr="00CC5B16">
              <w:rPr>
                <w:rFonts w:ascii="Times New Roman" w:hAnsi="Times New Roman" w:cs="Times New Roman"/>
                <w:sz w:val="24"/>
                <w:szCs w:val="24"/>
              </w:rPr>
              <w:t xml:space="preserve">Deliver workshops and hands-on training </w:t>
            </w:r>
            <w:r w:rsidR="00072962" w:rsidRPr="00CC5B16">
              <w:rPr>
                <w:rFonts w:ascii="Times New Roman" w:hAnsi="Times New Roman" w:cs="Times New Roman"/>
                <w:sz w:val="24"/>
                <w:szCs w:val="24"/>
              </w:rPr>
              <w:t xml:space="preserve">practical </w:t>
            </w:r>
            <w:r w:rsidRPr="00CC5B16">
              <w:rPr>
                <w:rFonts w:ascii="Times New Roman" w:hAnsi="Times New Roman" w:cs="Times New Roman"/>
                <w:sz w:val="24"/>
                <w:szCs w:val="24"/>
              </w:rPr>
              <w:t>sessions for staff.</w:t>
            </w:r>
            <w:r w:rsidR="00072962" w:rsidRPr="00CC5B16">
              <w:rPr>
                <w:rFonts w:ascii="Times New Roman" w:hAnsi="Times New Roman" w:cs="Times New Roman"/>
                <w:sz w:val="24"/>
                <w:szCs w:val="24"/>
              </w:rPr>
              <w:t xml:space="preserve"> </w:t>
            </w:r>
            <w:r w:rsidR="00072962" w:rsidRPr="00CC5B16">
              <w:rPr>
                <w:rFonts w:ascii="Times New Roman" w:hAnsi="Times New Roman" w:cs="Times New Roman"/>
                <w:color w:val="222222"/>
                <w:sz w:val="24"/>
                <w:szCs w:val="24"/>
              </w:rPr>
              <w:t xml:space="preserve"> </w:t>
            </w:r>
          </w:p>
          <w:p w14:paraId="7A3019A1" w14:textId="632D6330" w:rsidR="007105F3" w:rsidRPr="00CC5B16" w:rsidRDefault="00072962" w:rsidP="00247A07">
            <w:pPr>
              <w:pStyle w:val="NoSpacing"/>
              <w:numPr>
                <w:ilvl w:val="0"/>
                <w:numId w:val="16"/>
              </w:numPr>
              <w:jc w:val="both"/>
              <w:rPr>
                <w:rFonts w:ascii="Times New Roman" w:hAnsi="Times New Roman" w:cs="Times New Roman"/>
                <w:sz w:val="24"/>
                <w:szCs w:val="24"/>
              </w:rPr>
            </w:pPr>
            <w:r w:rsidRPr="00CC5B16">
              <w:rPr>
                <w:rFonts w:ascii="Times New Roman" w:hAnsi="Times New Roman" w:cs="Times New Roman"/>
                <w:color w:val="222222"/>
                <w:sz w:val="24"/>
                <w:szCs w:val="24"/>
                <w:shd w:val="clear" w:color="auto" w:fill="FFFFFF"/>
              </w:rPr>
              <w:t>Utilize participatory methods to enhance learning outcomes and engage participants actively.</w:t>
            </w:r>
          </w:p>
          <w:p w14:paraId="7608F171" w14:textId="39491B08" w:rsidR="007105F3" w:rsidRPr="00AA6204" w:rsidRDefault="00A930BA" w:rsidP="00247A07">
            <w:pPr>
              <w:pStyle w:val="NoSpacing"/>
              <w:numPr>
                <w:ilvl w:val="0"/>
                <w:numId w:val="3"/>
              </w:numPr>
              <w:jc w:val="both"/>
              <w:rPr>
                <w:rFonts w:ascii="Times New Roman" w:hAnsi="Times New Roman" w:cs="Times New Roman"/>
                <w:sz w:val="24"/>
                <w:szCs w:val="24"/>
              </w:rPr>
            </w:pPr>
            <w:r w:rsidRPr="00AA6204">
              <w:rPr>
                <w:rStyle w:val="Strong"/>
                <w:rFonts w:ascii="Times New Roman" w:hAnsi="Times New Roman" w:cs="Times New Roman"/>
                <w:sz w:val="24"/>
                <w:szCs w:val="24"/>
              </w:rPr>
              <w:t>Early Warning Integration</w:t>
            </w:r>
            <w:r w:rsidRPr="00AA6204">
              <w:rPr>
                <w:rFonts w:ascii="Times New Roman" w:hAnsi="Times New Roman" w:cs="Times New Roman"/>
                <w:sz w:val="24"/>
                <w:szCs w:val="24"/>
              </w:rPr>
              <w:t>:</w:t>
            </w:r>
          </w:p>
          <w:p w14:paraId="641EE62E" w14:textId="363676D9" w:rsidR="00A930BA" w:rsidRPr="00AA6204" w:rsidRDefault="00A930BA" w:rsidP="00247A07">
            <w:pPr>
              <w:pStyle w:val="NoSpacing"/>
              <w:jc w:val="both"/>
              <w:rPr>
                <w:rFonts w:ascii="Times New Roman" w:hAnsi="Times New Roman" w:cs="Times New Roman"/>
                <w:sz w:val="24"/>
                <w:szCs w:val="24"/>
              </w:rPr>
            </w:pPr>
            <w:r w:rsidRPr="00AA6204">
              <w:rPr>
                <w:rFonts w:ascii="Times New Roman" w:hAnsi="Times New Roman" w:cs="Times New Roman"/>
                <w:sz w:val="24"/>
                <w:szCs w:val="24"/>
              </w:rPr>
              <w:t xml:space="preserve"> </w:t>
            </w:r>
            <w:r w:rsidR="007105F3" w:rsidRPr="00AA6204">
              <w:rPr>
                <w:rFonts w:ascii="Times New Roman" w:hAnsi="Times New Roman" w:cs="Times New Roman"/>
                <w:sz w:val="24"/>
                <w:szCs w:val="24"/>
              </w:rPr>
              <w:t xml:space="preserve">               </w:t>
            </w:r>
            <w:r w:rsidRPr="00AA6204">
              <w:rPr>
                <w:rFonts w:ascii="Times New Roman" w:hAnsi="Times New Roman" w:cs="Times New Roman"/>
                <w:sz w:val="24"/>
                <w:szCs w:val="24"/>
              </w:rPr>
              <w:t>Provide guidance on incorporating climate change scenarios into Liberia’s EWS.</w:t>
            </w:r>
          </w:p>
          <w:p w14:paraId="4A47B249" w14:textId="3A3CC25B" w:rsidR="007105F3" w:rsidRPr="00AA6204" w:rsidRDefault="007105F3" w:rsidP="00247A07">
            <w:pPr>
              <w:pStyle w:val="NormalWeb"/>
              <w:numPr>
                <w:ilvl w:val="0"/>
                <w:numId w:val="3"/>
              </w:numPr>
              <w:jc w:val="both"/>
            </w:pPr>
            <w:r w:rsidRPr="00AA6204">
              <w:rPr>
                <w:b/>
                <w:bCs/>
                <w:color w:val="222222"/>
                <w:shd w:val="clear" w:color="auto" w:fill="FFFFFF"/>
              </w:rPr>
              <w:t>Monitoring and Evaluation:</w:t>
            </w:r>
            <w:r w:rsidR="00247A07">
              <w:rPr>
                <w:b/>
                <w:bCs/>
                <w:color w:val="222222"/>
                <w:shd w:val="clear" w:color="auto" w:fill="FFFFFF"/>
              </w:rPr>
              <w:t xml:space="preserve"> </w:t>
            </w:r>
            <w:r w:rsidRPr="00AA6204">
              <w:rPr>
                <w:color w:val="222222"/>
                <w:shd w:val="clear" w:color="auto" w:fill="FFFFFF"/>
              </w:rPr>
              <w:t>Establish mechanisms to evaluate the effectiveness of the training program and its impact on operational practices</w:t>
            </w:r>
            <w:r w:rsidR="00247A07">
              <w:rPr>
                <w:color w:val="222222"/>
                <w:shd w:val="clear" w:color="auto" w:fill="FFFFFF"/>
              </w:rPr>
              <w:t>, and p</w:t>
            </w:r>
            <w:r w:rsidRPr="00247A07">
              <w:rPr>
                <w:color w:val="222222"/>
                <w:shd w:val="clear" w:color="auto" w:fill="FFFFFF"/>
              </w:rPr>
              <w:t>rovide recommendations based on monitoring findings to improve future training and capacity-building efforts.</w:t>
            </w:r>
          </w:p>
          <w:p w14:paraId="7F112785" w14:textId="19B6A862" w:rsidR="00BE0B3F" w:rsidRPr="00AA6204" w:rsidRDefault="00A930BA" w:rsidP="00247A07">
            <w:pPr>
              <w:pStyle w:val="NormalWeb"/>
              <w:numPr>
                <w:ilvl w:val="0"/>
                <w:numId w:val="3"/>
              </w:numPr>
              <w:jc w:val="both"/>
            </w:pPr>
            <w:r w:rsidRPr="00AA6204">
              <w:rPr>
                <w:rStyle w:val="Strong"/>
              </w:rPr>
              <w:t>Reporting</w:t>
            </w:r>
            <w:r w:rsidRPr="00AA6204">
              <w:t>: Submit final report with recommendations for institutional strengthening</w:t>
            </w:r>
            <w:r w:rsidR="00914CD7" w:rsidRPr="00AA6204">
              <w:t xml:space="preserve"> </w:t>
            </w:r>
            <w:r w:rsidR="00BE0B3F" w:rsidRPr="00AA6204">
              <w:t>process.</w:t>
            </w:r>
          </w:p>
          <w:p w14:paraId="32568CAD" w14:textId="77777777" w:rsidR="00486F88" w:rsidRPr="00AA6204" w:rsidRDefault="00486F88" w:rsidP="00486F88">
            <w:pPr>
              <w:pStyle w:val="Heading3"/>
              <w:outlineLvl w:val="2"/>
              <w:rPr>
                <w:rFonts w:cs="Times New Roman"/>
                <w:b/>
                <w:bCs/>
                <w:color w:val="auto"/>
                <w:sz w:val="24"/>
                <w:szCs w:val="24"/>
              </w:rPr>
            </w:pPr>
            <w:r w:rsidRPr="00AA6204">
              <w:rPr>
                <w:rFonts w:cs="Times New Roman"/>
                <w:b/>
                <w:bCs/>
                <w:color w:val="auto"/>
                <w:sz w:val="24"/>
                <w:szCs w:val="24"/>
              </w:rPr>
              <w:t>Deliverables</w:t>
            </w:r>
          </w:p>
          <w:p w14:paraId="3D5F8C5C" w14:textId="69EF8FDD" w:rsidR="00486F88" w:rsidRPr="00AA6204" w:rsidRDefault="00486F88" w:rsidP="00486F88">
            <w:pPr>
              <w:pStyle w:val="NormalWeb"/>
              <w:numPr>
                <w:ilvl w:val="0"/>
                <w:numId w:val="12"/>
              </w:numPr>
            </w:pPr>
            <w:r w:rsidRPr="00474717">
              <w:rPr>
                <w:b/>
                <w:bCs/>
              </w:rPr>
              <w:t xml:space="preserve">Training </w:t>
            </w:r>
            <w:r w:rsidR="00C6350C" w:rsidRPr="00474717">
              <w:rPr>
                <w:b/>
                <w:bCs/>
              </w:rPr>
              <w:t>N</w:t>
            </w:r>
            <w:r w:rsidRPr="00474717">
              <w:rPr>
                <w:b/>
                <w:bCs/>
              </w:rPr>
              <w:t>eeds Assessment Report</w:t>
            </w:r>
            <w:r w:rsidR="00914CD7" w:rsidRPr="00AA6204">
              <w:t xml:space="preserve">: </w:t>
            </w:r>
            <w:r w:rsidR="00914CD7" w:rsidRPr="00AA6204">
              <w:rPr>
                <w:color w:val="222222"/>
                <w:shd w:val="clear" w:color="auto" w:fill="FFFFFF"/>
              </w:rPr>
              <w:t>outlining existing capabilities and training gaps.</w:t>
            </w:r>
          </w:p>
          <w:p w14:paraId="266EF877" w14:textId="330FCCDE" w:rsidR="00914CD7" w:rsidRPr="00AA6204" w:rsidRDefault="00914CD7" w:rsidP="00486F88">
            <w:pPr>
              <w:pStyle w:val="NormalWeb"/>
              <w:numPr>
                <w:ilvl w:val="0"/>
                <w:numId w:val="12"/>
              </w:numPr>
            </w:pPr>
            <w:r w:rsidRPr="00474717">
              <w:rPr>
                <w:b/>
                <w:bCs/>
                <w:color w:val="222222"/>
                <w:shd w:val="clear" w:color="auto" w:fill="FFFFFF"/>
              </w:rPr>
              <w:lastRenderedPageBreak/>
              <w:t>Training Curriculum</w:t>
            </w:r>
            <w:r w:rsidRPr="00AA6204">
              <w:rPr>
                <w:color w:val="222222"/>
                <w:shd w:val="clear" w:color="auto" w:fill="FFFFFF"/>
              </w:rPr>
              <w:t xml:space="preserve"> - a detailed curriculum, including content, methodologies, and materials designed for the capacity-building program.</w:t>
            </w:r>
          </w:p>
          <w:p w14:paraId="00331D32" w14:textId="6B465847" w:rsidR="00914CD7" w:rsidRPr="00AA6204" w:rsidRDefault="00914CD7" w:rsidP="00486F88">
            <w:pPr>
              <w:pStyle w:val="NormalWeb"/>
              <w:numPr>
                <w:ilvl w:val="0"/>
                <w:numId w:val="12"/>
              </w:numPr>
            </w:pPr>
            <w:r w:rsidRPr="00474717">
              <w:rPr>
                <w:b/>
                <w:bCs/>
                <w:color w:val="222222"/>
                <w:shd w:val="clear" w:color="auto" w:fill="FFFFFF"/>
              </w:rPr>
              <w:t>Comprehensive Training Materials</w:t>
            </w:r>
            <w:r w:rsidRPr="00AA6204">
              <w:rPr>
                <w:color w:val="222222"/>
                <w:shd w:val="clear" w:color="auto" w:fill="FFFFFF"/>
              </w:rPr>
              <w:t xml:space="preserve"> - </w:t>
            </w:r>
            <w:r w:rsidR="002A243C">
              <w:rPr>
                <w:color w:val="222222"/>
                <w:shd w:val="clear" w:color="auto" w:fill="FFFFFF"/>
              </w:rPr>
              <w:t>Manuals</w:t>
            </w:r>
            <w:r w:rsidRPr="00AA6204">
              <w:rPr>
                <w:color w:val="222222"/>
                <w:shd w:val="clear" w:color="auto" w:fill="FFFFFF"/>
              </w:rPr>
              <w:t>, guides, and other materials developed for use during training sessions.</w:t>
            </w:r>
          </w:p>
          <w:p w14:paraId="663AD06C" w14:textId="3442DAF3" w:rsidR="0064405F" w:rsidRPr="00A4192A" w:rsidRDefault="0064405F" w:rsidP="00486F88">
            <w:pPr>
              <w:pStyle w:val="NormalWeb"/>
              <w:numPr>
                <w:ilvl w:val="0"/>
                <w:numId w:val="12"/>
              </w:numPr>
            </w:pPr>
            <w:r w:rsidRPr="00A4192A">
              <w:rPr>
                <w:b/>
                <w:bCs/>
                <w:color w:val="222222"/>
                <w:shd w:val="clear" w:color="auto" w:fill="FFFFFF"/>
              </w:rPr>
              <w:t>Trained Staff -</w:t>
            </w:r>
            <w:r w:rsidRPr="00A4192A">
              <w:rPr>
                <w:color w:val="222222"/>
                <w:shd w:val="clear" w:color="auto" w:fill="FFFFFF"/>
              </w:rPr>
              <w:t xml:space="preserve"> completion of training sessions with documentation of participants and content delivered.</w:t>
            </w:r>
          </w:p>
          <w:p w14:paraId="13C5B982" w14:textId="69E9B87E" w:rsidR="00BE0B3F" w:rsidRPr="00AA6204" w:rsidRDefault="0064405F" w:rsidP="0064405F">
            <w:pPr>
              <w:pStyle w:val="NormalWeb"/>
              <w:numPr>
                <w:ilvl w:val="0"/>
                <w:numId w:val="12"/>
              </w:numPr>
            </w:pPr>
            <w:r w:rsidRPr="00474717">
              <w:rPr>
                <w:b/>
                <w:bCs/>
                <w:color w:val="222222"/>
                <w:shd w:val="clear" w:color="auto" w:fill="FFFFFF"/>
              </w:rPr>
              <w:t>Final Report</w:t>
            </w:r>
            <w:r w:rsidRPr="00AA6204">
              <w:rPr>
                <w:color w:val="222222"/>
                <w:shd w:val="clear" w:color="auto" w:fill="FFFFFF"/>
              </w:rPr>
              <w:t>- a comprehensive report summarizing the training process, outcomes, participant feedback, and recommendations for further actions.</w:t>
            </w:r>
          </w:p>
        </w:tc>
      </w:tr>
    </w:tbl>
    <w:p w14:paraId="455CEC98" w14:textId="77777777" w:rsidR="00BE0B3F" w:rsidRPr="00AA6204" w:rsidRDefault="00BE0B3F" w:rsidP="00BE0B3F"/>
    <w:p w14:paraId="18ED630E" w14:textId="2E154280" w:rsidR="00BE0B3F" w:rsidRPr="00AA6204" w:rsidRDefault="00BE0B3F" w:rsidP="0064405F">
      <w:pPr>
        <w:pStyle w:val="Heading1"/>
        <w:rPr>
          <w:rFonts w:ascii="Times New Roman" w:eastAsia="Calibri" w:hAnsi="Times New Roman" w:cs="Times New Roman"/>
          <w:b/>
          <w:bCs/>
          <w:color w:val="auto"/>
          <w:sz w:val="24"/>
          <w:szCs w:val="24"/>
        </w:rPr>
      </w:pPr>
    </w:p>
    <w:p w14:paraId="0E20FCED" w14:textId="248B336B" w:rsidR="00BE0B3F" w:rsidRPr="00AA6204" w:rsidRDefault="00BE0B3F" w:rsidP="00BE0B3F">
      <w:pPr>
        <w:pStyle w:val="ListParagraph"/>
        <w:numPr>
          <w:ilvl w:val="0"/>
          <w:numId w:val="1"/>
        </w:numPr>
        <w:rPr>
          <w:b/>
          <w:bCs/>
        </w:rPr>
      </w:pPr>
      <w:r w:rsidRPr="00AA6204">
        <w:rPr>
          <w:b/>
          <w:bCs/>
        </w:rPr>
        <w:t>DELIVER</w:t>
      </w:r>
      <w:r w:rsidR="00F44AB8">
        <w:rPr>
          <w:b/>
          <w:bCs/>
        </w:rPr>
        <w:t>Y PLAN</w:t>
      </w:r>
    </w:p>
    <w:tbl>
      <w:tblPr>
        <w:tblStyle w:val="TableGrid"/>
        <w:tblW w:w="10260" w:type="dxa"/>
        <w:tblInd w:w="-365" w:type="dxa"/>
        <w:tblLook w:val="04A0" w:firstRow="1" w:lastRow="0" w:firstColumn="1" w:lastColumn="0" w:noHBand="0" w:noVBand="1"/>
      </w:tblPr>
      <w:tblGrid>
        <w:gridCol w:w="570"/>
        <w:gridCol w:w="7804"/>
        <w:gridCol w:w="1886"/>
      </w:tblGrid>
      <w:tr w:rsidR="00BE0B3F" w:rsidRPr="00AA6204" w14:paraId="4F1B4111" w14:textId="77777777" w:rsidTr="001F7A14">
        <w:tc>
          <w:tcPr>
            <w:tcW w:w="570" w:type="dxa"/>
            <w:shd w:val="clear" w:color="auto" w:fill="BFBFBF" w:themeFill="background1" w:themeFillShade="BF"/>
          </w:tcPr>
          <w:p w14:paraId="2293D3AF" w14:textId="77777777" w:rsidR="00BE0B3F" w:rsidRPr="00AA6204" w:rsidRDefault="00BE0B3F" w:rsidP="001F7A14">
            <w:pPr>
              <w:spacing w:line="276" w:lineRule="auto"/>
              <w:jc w:val="both"/>
              <w:rPr>
                <w:rStyle w:val="Strong"/>
                <w:rFonts w:eastAsiaTheme="majorEastAsia"/>
              </w:rPr>
            </w:pPr>
            <w:r w:rsidRPr="00AA6204">
              <w:rPr>
                <w:rStyle w:val="Strong"/>
                <w:rFonts w:eastAsiaTheme="majorEastAsia"/>
              </w:rPr>
              <w:t>No.</w:t>
            </w:r>
          </w:p>
        </w:tc>
        <w:tc>
          <w:tcPr>
            <w:tcW w:w="7804" w:type="dxa"/>
            <w:shd w:val="clear" w:color="auto" w:fill="BFBFBF" w:themeFill="background1" w:themeFillShade="BF"/>
          </w:tcPr>
          <w:p w14:paraId="1C2CB446" w14:textId="77777777" w:rsidR="00BE0B3F" w:rsidRPr="00AA6204" w:rsidRDefault="00BE0B3F" w:rsidP="001F7A14">
            <w:pPr>
              <w:spacing w:line="276" w:lineRule="auto"/>
              <w:jc w:val="both"/>
              <w:rPr>
                <w:rStyle w:val="Strong"/>
                <w:rFonts w:eastAsiaTheme="majorEastAsia"/>
              </w:rPr>
            </w:pPr>
            <w:r w:rsidRPr="00AA6204">
              <w:rPr>
                <w:rStyle w:val="Strong"/>
                <w:rFonts w:eastAsiaTheme="majorEastAsia"/>
              </w:rPr>
              <w:t>Output</w:t>
            </w:r>
          </w:p>
        </w:tc>
        <w:tc>
          <w:tcPr>
            <w:tcW w:w="1886" w:type="dxa"/>
            <w:shd w:val="clear" w:color="auto" w:fill="BFBFBF" w:themeFill="background1" w:themeFillShade="BF"/>
          </w:tcPr>
          <w:p w14:paraId="7A0C90C8" w14:textId="0C077B62" w:rsidR="00BE0B3F" w:rsidRPr="00AA6204" w:rsidRDefault="00F44AB8" w:rsidP="001F7A14">
            <w:pPr>
              <w:spacing w:line="276" w:lineRule="auto"/>
              <w:jc w:val="both"/>
              <w:rPr>
                <w:rStyle w:val="Strong"/>
                <w:rFonts w:eastAsiaTheme="majorEastAsia"/>
              </w:rPr>
            </w:pPr>
            <w:r>
              <w:rPr>
                <w:rStyle w:val="Strong"/>
                <w:rFonts w:eastAsiaTheme="majorEastAsia"/>
              </w:rPr>
              <w:t>Percentage</w:t>
            </w:r>
          </w:p>
        </w:tc>
      </w:tr>
      <w:tr w:rsidR="00BE0B3F" w:rsidRPr="00AA6204" w14:paraId="3E5DF661" w14:textId="77777777" w:rsidTr="00F44AB8">
        <w:trPr>
          <w:trHeight w:val="870"/>
        </w:trPr>
        <w:tc>
          <w:tcPr>
            <w:tcW w:w="570" w:type="dxa"/>
          </w:tcPr>
          <w:p w14:paraId="639BFF1E" w14:textId="77777777" w:rsidR="00BE0B3F" w:rsidRPr="00AA6204" w:rsidRDefault="00BE0B3F" w:rsidP="001F7A14">
            <w:pPr>
              <w:spacing w:line="276" w:lineRule="auto"/>
              <w:jc w:val="both"/>
              <w:rPr>
                <w:rStyle w:val="Strong"/>
                <w:rFonts w:eastAsiaTheme="majorEastAsia"/>
                <w:b w:val="0"/>
                <w:bCs w:val="0"/>
              </w:rPr>
            </w:pPr>
            <w:r w:rsidRPr="00AA6204">
              <w:rPr>
                <w:rStyle w:val="Strong"/>
                <w:rFonts w:eastAsiaTheme="majorEastAsia"/>
              </w:rPr>
              <w:t>1.</w:t>
            </w:r>
          </w:p>
        </w:tc>
        <w:tc>
          <w:tcPr>
            <w:tcW w:w="7804" w:type="dxa"/>
          </w:tcPr>
          <w:p w14:paraId="729708D9" w14:textId="2E751DEA" w:rsidR="00BE0B3F" w:rsidRPr="00AA6204" w:rsidRDefault="00F836DB" w:rsidP="001F7A14">
            <w:pPr>
              <w:spacing w:line="276" w:lineRule="auto"/>
              <w:jc w:val="both"/>
              <w:rPr>
                <w:rStyle w:val="Strong"/>
                <w:rFonts w:eastAsiaTheme="majorEastAsia"/>
                <w:b w:val="0"/>
                <w:bCs w:val="0"/>
              </w:rPr>
            </w:pPr>
            <w:r w:rsidRPr="00AA6204">
              <w:t xml:space="preserve">Submission and approval of </w:t>
            </w:r>
            <w:r w:rsidR="00BE0B3F" w:rsidRPr="00AA6204">
              <w:t>Inception Report (detailing methodology, workplan, and stakeholder engagement approach</w:t>
            </w:r>
          </w:p>
          <w:tbl>
            <w:tblPr>
              <w:tblW w:w="177" w:type="dxa"/>
              <w:tblCellSpacing w:w="15" w:type="dxa"/>
              <w:tblCellMar>
                <w:top w:w="15" w:type="dxa"/>
                <w:left w:w="15" w:type="dxa"/>
                <w:bottom w:w="15" w:type="dxa"/>
                <w:right w:w="15" w:type="dxa"/>
              </w:tblCellMar>
              <w:tblLook w:val="04A0" w:firstRow="1" w:lastRow="0" w:firstColumn="1" w:lastColumn="0" w:noHBand="0" w:noVBand="1"/>
            </w:tblPr>
            <w:tblGrid>
              <w:gridCol w:w="177"/>
            </w:tblGrid>
            <w:tr w:rsidR="00BE0B3F" w:rsidRPr="00AA6204" w14:paraId="2B602036" w14:textId="77777777" w:rsidTr="002A243C">
              <w:trPr>
                <w:trHeight w:val="198"/>
                <w:tblCellSpacing w:w="15" w:type="dxa"/>
              </w:trPr>
              <w:tc>
                <w:tcPr>
                  <w:tcW w:w="0" w:type="auto"/>
                  <w:vAlign w:val="center"/>
                </w:tcPr>
                <w:p w14:paraId="273B5CB4" w14:textId="77777777" w:rsidR="00BE0B3F" w:rsidRPr="00AA6204" w:rsidRDefault="00BE0B3F" w:rsidP="001F7A14"/>
              </w:tc>
            </w:tr>
          </w:tbl>
          <w:p w14:paraId="21C081A6" w14:textId="77777777" w:rsidR="00BE0B3F" w:rsidRPr="00AA6204" w:rsidRDefault="00BE0B3F" w:rsidP="001F7A1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E0B3F" w:rsidRPr="00AA6204" w14:paraId="181C6041" w14:textId="77777777" w:rsidTr="001F7A14">
              <w:trPr>
                <w:tblCellSpacing w:w="15" w:type="dxa"/>
              </w:trPr>
              <w:tc>
                <w:tcPr>
                  <w:tcW w:w="0" w:type="auto"/>
                  <w:vAlign w:val="center"/>
                </w:tcPr>
                <w:p w14:paraId="6CABDBCE" w14:textId="78F7EB85" w:rsidR="00BE0B3F" w:rsidRPr="00AA6204" w:rsidRDefault="00BE0B3F" w:rsidP="001F7A14"/>
              </w:tc>
            </w:tr>
          </w:tbl>
          <w:p w14:paraId="13A55F2E" w14:textId="42A1D5AB" w:rsidR="00BE0B3F" w:rsidRPr="00AA6204" w:rsidRDefault="00BE0B3F" w:rsidP="001F7A14">
            <w:pPr>
              <w:spacing w:line="276" w:lineRule="auto"/>
              <w:rPr>
                <w:rStyle w:val="Strong"/>
                <w:rFonts w:eastAsiaTheme="majorEastAsia"/>
                <w:b w:val="0"/>
                <w:bCs w:val="0"/>
              </w:rPr>
            </w:pPr>
          </w:p>
        </w:tc>
        <w:tc>
          <w:tcPr>
            <w:tcW w:w="1886" w:type="dxa"/>
          </w:tcPr>
          <w:p w14:paraId="4A4118B7" w14:textId="620DC18F" w:rsidR="00BE0B3F" w:rsidRPr="00AA6204" w:rsidRDefault="00BD068F" w:rsidP="001F7A14">
            <w:pPr>
              <w:spacing w:line="276" w:lineRule="auto"/>
              <w:jc w:val="both"/>
              <w:rPr>
                <w:rStyle w:val="Strong"/>
                <w:rFonts w:eastAsiaTheme="majorEastAsia"/>
                <w:b w:val="0"/>
                <w:bCs w:val="0"/>
              </w:rPr>
            </w:pPr>
            <w:r w:rsidRPr="00AA6204">
              <w:rPr>
                <w:rStyle w:val="Strong"/>
                <w:rFonts w:eastAsiaTheme="majorEastAsia"/>
              </w:rPr>
              <w:t>2</w:t>
            </w:r>
            <w:r w:rsidR="00BE0B3F" w:rsidRPr="00AA6204">
              <w:rPr>
                <w:rStyle w:val="Strong"/>
                <w:rFonts w:eastAsiaTheme="majorEastAsia"/>
              </w:rPr>
              <w:t>0%</w:t>
            </w:r>
          </w:p>
        </w:tc>
      </w:tr>
      <w:tr w:rsidR="00BE0B3F" w:rsidRPr="00AA6204" w14:paraId="410AC088" w14:textId="77777777" w:rsidTr="001F7A14">
        <w:tc>
          <w:tcPr>
            <w:tcW w:w="570" w:type="dxa"/>
          </w:tcPr>
          <w:p w14:paraId="35C1AF2C" w14:textId="782F734D" w:rsidR="00BE0B3F" w:rsidRPr="00AA6204" w:rsidRDefault="00BD068F" w:rsidP="001F7A14">
            <w:pPr>
              <w:spacing w:line="276" w:lineRule="auto"/>
              <w:jc w:val="both"/>
              <w:rPr>
                <w:rStyle w:val="Strong"/>
                <w:rFonts w:eastAsiaTheme="majorEastAsia"/>
                <w:b w:val="0"/>
                <w:bCs w:val="0"/>
              </w:rPr>
            </w:pPr>
            <w:r w:rsidRPr="00AA6204">
              <w:rPr>
                <w:rStyle w:val="Strong"/>
                <w:rFonts w:eastAsiaTheme="majorEastAsia"/>
              </w:rPr>
              <w:t>2</w:t>
            </w:r>
            <w:r w:rsidR="00BE0B3F" w:rsidRPr="00AA6204">
              <w:rPr>
                <w:rStyle w:val="Strong"/>
                <w:rFonts w:eastAsiaTheme="majorEastAsia"/>
              </w:rPr>
              <w:t>.</w:t>
            </w:r>
          </w:p>
        </w:tc>
        <w:tc>
          <w:tcPr>
            <w:tcW w:w="7804" w:type="dxa"/>
          </w:tcPr>
          <w:p w14:paraId="6269ECD8" w14:textId="4B1AA548" w:rsidR="00BE0B3F" w:rsidRPr="00AA6204" w:rsidRDefault="00BD068F" w:rsidP="00F836DB">
            <w:pPr>
              <w:rPr>
                <w:rStyle w:val="Strong"/>
                <w:b w:val="0"/>
                <w:bCs w:val="0"/>
              </w:rPr>
            </w:pPr>
            <w:r w:rsidRPr="00AA6204">
              <w:t>Submission of Needs Assessment Report</w:t>
            </w:r>
            <w:r w:rsidR="00F836DB" w:rsidRPr="00AA6204">
              <w:t xml:space="preserve"> </w:t>
            </w:r>
            <w:r w:rsidR="00DC351F">
              <w:t>(</w:t>
            </w:r>
            <w:r w:rsidR="00F836DB" w:rsidRPr="00AA6204">
              <w:t>current skills and knowledge gaps of LMS staff</w:t>
            </w:r>
            <w:r w:rsidR="00DC351F">
              <w:t>)</w:t>
            </w:r>
            <w:r w:rsidRPr="00AA6204">
              <w:t>, Approval of Training Curriculum</w:t>
            </w:r>
            <w:r w:rsidR="00DC351F">
              <w:t>,</w:t>
            </w:r>
            <w:r w:rsidRPr="00AA6204">
              <w:t xml:space="preserve"> and training materials</w:t>
            </w:r>
          </w:p>
        </w:tc>
        <w:tc>
          <w:tcPr>
            <w:tcW w:w="1886" w:type="dxa"/>
          </w:tcPr>
          <w:p w14:paraId="14B00DB6" w14:textId="4724B4DE" w:rsidR="00BE0B3F" w:rsidRPr="00AA6204" w:rsidRDefault="00BD068F" w:rsidP="001F7A14">
            <w:pPr>
              <w:spacing w:line="276" w:lineRule="auto"/>
              <w:jc w:val="both"/>
              <w:rPr>
                <w:rStyle w:val="Strong"/>
                <w:rFonts w:eastAsiaTheme="majorEastAsia"/>
                <w:b w:val="0"/>
                <w:bCs w:val="0"/>
              </w:rPr>
            </w:pPr>
            <w:r w:rsidRPr="00AA6204">
              <w:rPr>
                <w:rStyle w:val="Strong"/>
                <w:rFonts w:eastAsiaTheme="majorEastAsia"/>
              </w:rPr>
              <w:t>3</w:t>
            </w:r>
            <w:r w:rsidR="00BE0B3F" w:rsidRPr="00AA6204">
              <w:rPr>
                <w:rStyle w:val="Strong"/>
                <w:rFonts w:eastAsiaTheme="majorEastAsia"/>
              </w:rPr>
              <w:t>0%</w:t>
            </w:r>
          </w:p>
        </w:tc>
      </w:tr>
      <w:tr w:rsidR="00BE0B3F" w:rsidRPr="00AA6204" w14:paraId="37C7BF6D" w14:textId="77777777" w:rsidTr="001F7A14">
        <w:tc>
          <w:tcPr>
            <w:tcW w:w="570" w:type="dxa"/>
          </w:tcPr>
          <w:p w14:paraId="5488EAD6" w14:textId="6319B69E" w:rsidR="00BE0B3F" w:rsidRPr="00AA6204" w:rsidRDefault="00DC351F" w:rsidP="001F7A14">
            <w:pPr>
              <w:spacing w:line="276" w:lineRule="auto"/>
              <w:jc w:val="both"/>
              <w:rPr>
                <w:rStyle w:val="Strong"/>
                <w:rFonts w:eastAsiaTheme="majorEastAsia"/>
                <w:b w:val="0"/>
                <w:bCs w:val="0"/>
              </w:rPr>
            </w:pPr>
            <w:r>
              <w:rPr>
                <w:rStyle w:val="Strong"/>
                <w:rFonts w:eastAsiaTheme="majorEastAsia"/>
              </w:rPr>
              <w:t>3</w:t>
            </w:r>
            <w:r w:rsidR="00BE0B3F" w:rsidRPr="00AA6204">
              <w:rPr>
                <w:rStyle w:val="Strong"/>
                <w:rFonts w:eastAsiaTheme="majorEastAsia"/>
              </w:rPr>
              <w:t>.</w:t>
            </w:r>
          </w:p>
        </w:tc>
        <w:tc>
          <w:tcPr>
            <w:tcW w:w="7804" w:type="dxa"/>
          </w:tcPr>
          <w:p w14:paraId="23A5EDE2" w14:textId="08483A17" w:rsidR="00BE0B3F" w:rsidRPr="00AA6204" w:rsidRDefault="00BE0B3F" w:rsidP="001F7A14">
            <w:pPr>
              <w:spacing w:line="276" w:lineRule="auto"/>
              <w:jc w:val="both"/>
              <w:rPr>
                <w:rStyle w:val="Strong"/>
                <w:rFonts w:eastAsiaTheme="majorEastAsia"/>
                <w:b w:val="0"/>
                <w:bCs w:val="0"/>
              </w:rPr>
            </w:pPr>
            <w:r w:rsidRPr="00AA6204">
              <w:t xml:space="preserve">Submission and approval of </w:t>
            </w:r>
            <w:r w:rsidR="00DC351F">
              <w:t>draft t</w:t>
            </w:r>
            <w:r w:rsidRPr="00AA6204">
              <w:t>raining Report (with participant list, training materials, and evaluation)</w:t>
            </w:r>
          </w:p>
        </w:tc>
        <w:tc>
          <w:tcPr>
            <w:tcW w:w="1886" w:type="dxa"/>
          </w:tcPr>
          <w:p w14:paraId="2FA3BE49" w14:textId="796C2EA3" w:rsidR="00BE0B3F" w:rsidRPr="00AA6204" w:rsidRDefault="00BD068F" w:rsidP="001F7A14">
            <w:pPr>
              <w:spacing w:line="276" w:lineRule="auto"/>
              <w:jc w:val="both"/>
              <w:rPr>
                <w:rStyle w:val="Strong"/>
                <w:rFonts w:eastAsiaTheme="majorEastAsia"/>
                <w:b w:val="0"/>
                <w:bCs w:val="0"/>
              </w:rPr>
            </w:pPr>
            <w:r w:rsidRPr="00AA6204">
              <w:rPr>
                <w:rStyle w:val="Strong"/>
                <w:rFonts w:eastAsiaTheme="majorEastAsia"/>
              </w:rPr>
              <w:t>20</w:t>
            </w:r>
            <w:r w:rsidR="00BE0B3F" w:rsidRPr="00AA6204">
              <w:rPr>
                <w:rStyle w:val="Strong"/>
                <w:rFonts w:eastAsiaTheme="majorEastAsia"/>
              </w:rPr>
              <w:t>%</w:t>
            </w:r>
          </w:p>
        </w:tc>
      </w:tr>
      <w:tr w:rsidR="00BE0B3F" w:rsidRPr="00AA6204" w14:paraId="0ECC4C6B" w14:textId="77777777" w:rsidTr="001F7A14">
        <w:tc>
          <w:tcPr>
            <w:tcW w:w="570" w:type="dxa"/>
          </w:tcPr>
          <w:p w14:paraId="05078853" w14:textId="79FE0F4B" w:rsidR="00BE0B3F" w:rsidRPr="00AA6204" w:rsidRDefault="00DC351F" w:rsidP="001F7A14">
            <w:pPr>
              <w:spacing w:line="276" w:lineRule="auto"/>
              <w:jc w:val="both"/>
              <w:rPr>
                <w:rStyle w:val="Strong"/>
                <w:rFonts w:eastAsiaTheme="majorEastAsia"/>
              </w:rPr>
            </w:pPr>
            <w:r>
              <w:rPr>
                <w:rStyle w:val="Strong"/>
                <w:rFonts w:eastAsiaTheme="majorEastAsia"/>
              </w:rPr>
              <w:t>4</w:t>
            </w:r>
            <w:r w:rsidR="00BE0B3F" w:rsidRPr="00AA6204">
              <w:rPr>
                <w:rStyle w:val="Strong"/>
                <w:rFonts w:eastAsiaTheme="majorEastAsia"/>
              </w:rPr>
              <w:t>.</w:t>
            </w:r>
          </w:p>
        </w:tc>
        <w:tc>
          <w:tcPr>
            <w:tcW w:w="7804" w:type="dxa"/>
          </w:tcPr>
          <w:p w14:paraId="0D0595D2" w14:textId="49B82F09" w:rsidR="00BE0B3F" w:rsidRPr="00AA6204" w:rsidRDefault="00BE0B3F" w:rsidP="001F7A14">
            <w:pPr>
              <w:spacing w:line="276" w:lineRule="auto"/>
              <w:jc w:val="both"/>
              <w:rPr>
                <w:rStyle w:val="Strong"/>
                <w:rFonts w:eastAsiaTheme="majorEastAsia"/>
              </w:rPr>
            </w:pPr>
            <w:r w:rsidRPr="00AA6204">
              <w:t xml:space="preserve">Submission and approval of </w:t>
            </w:r>
            <w:r w:rsidR="003F42C5">
              <w:t xml:space="preserve">the </w:t>
            </w:r>
            <w:r w:rsidRPr="00AA6204">
              <w:t>Final Report</w:t>
            </w:r>
            <w:r w:rsidR="00BD068F" w:rsidRPr="00AA6204">
              <w:t>,</w:t>
            </w:r>
            <w:r w:rsidRPr="00AA6204">
              <w:t xml:space="preserve"> including lessons learned and recommendations for </w:t>
            </w:r>
            <w:r w:rsidR="00DC351F">
              <w:t xml:space="preserve">the </w:t>
            </w:r>
            <w:r w:rsidRPr="00AA6204">
              <w:t>sustainability</w:t>
            </w:r>
            <w:r w:rsidR="00BD068F" w:rsidRPr="00AA6204">
              <w:t xml:space="preserve"> of these </w:t>
            </w:r>
            <w:r w:rsidR="00DC351F">
              <w:t>weather</w:t>
            </w:r>
            <w:r w:rsidR="00BD068F" w:rsidRPr="00AA6204">
              <w:t xml:space="preserve"> stations</w:t>
            </w:r>
          </w:p>
        </w:tc>
        <w:tc>
          <w:tcPr>
            <w:tcW w:w="1886" w:type="dxa"/>
          </w:tcPr>
          <w:p w14:paraId="2A515F93" w14:textId="0B0BC692" w:rsidR="00BE0B3F" w:rsidRPr="00AA6204" w:rsidRDefault="00D90257" w:rsidP="001F7A14">
            <w:pPr>
              <w:spacing w:line="276" w:lineRule="auto"/>
              <w:jc w:val="both"/>
              <w:rPr>
                <w:rStyle w:val="Strong"/>
                <w:rFonts w:eastAsiaTheme="majorEastAsia"/>
                <w:b w:val="0"/>
                <w:bCs w:val="0"/>
              </w:rPr>
            </w:pPr>
            <w:r w:rsidRPr="00AA6204">
              <w:rPr>
                <w:rStyle w:val="Strong"/>
                <w:rFonts w:eastAsiaTheme="majorEastAsia"/>
              </w:rPr>
              <w:t>30</w:t>
            </w:r>
            <w:r w:rsidR="00BE0B3F" w:rsidRPr="00AA6204">
              <w:rPr>
                <w:rStyle w:val="Strong"/>
                <w:rFonts w:eastAsiaTheme="majorEastAsia"/>
              </w:rPr>
              <w:t>%</w:t>
            </w:r>
          </w:p>
        </w:tc>
      </w:tr>
    </w:tbl>
    <w:p w14:paraId="4E9C5952" w14:textId="77777777" w:rsidR="00BE0B3F" w:rsidRPr="00AA6204" w:rsidRDefault="00BE0B3F" w:rsidP="00BE0B3F"/>
    <w:p w14:paraId="5F1B7E52" w14:textId="77777777" w:rsidR="00BE0B3F" w:rsidRPr="00AA6204" w:rsidRDefault="00BE0B3F" w:rsidP="00BE0B3F">
      <w:pPr>
        <w:pStyle w:val="ListParagraph"/>
        <w:numPr>
          <w:ilvl w:val="0"/>
          <w:numId w:val="1"/>
        </w:numPr>
        <w:rPr>
          <w:b/>
          <w:bCs/>
        </w:rPr>
      </w:pPr>
      <w:r w:rsidRPr="00AA6204">
        <w:rPr>
          <w:b/>
          <w:bCs/>
        </w:rPr>
        <w:t>QUALIFICATIONS AND EXPERIENCE</w:t>
      </w:r>
    </w:p>
    <w:tbl>
      <w:tblPr>
        <w:tblStyle w:val="TableGrid"/>
        <w:tblW w:w="10260" w:type="dxa"/>
        <w:tblInd w:w="-365" w:type="dxa"/>
        <w:tblLook w:val="04A0" w:firstRow="1" w:lastRow="0" w:firstColumn="1" w:lastColumn="0" w:noHBand="0" w:noVBand="1"/>
      </w:tblPr>
      <w:tblGrid>
        <w:gridCol w:w="10260"/>
      </w:tblGrid>
      <w:tr w:rsidR="00BE0B3F" w:rsidRPr="00AA6204" w14:paraId="0259F151" w14:textId="77777777" w:rsidTr="001F7A14">
        <w:tc>
          <w:tcPr>
            <w:tcW w:w="10260" w:type="dxa"/>
          </w:tcPr>
          <w:p w14:paraId="3CCA0055" w14:textId="77777777" w:rsidR="00BE0B3F" w:rsidRPr="00AA6204" w:rsidRDefault="00BE0B3F" w:rsidP="001F7A14">
            <w:pPr>
              <w:pStyle w:val="NormalWeb"/>
              <w:ind w:left="360"/>
              <w:rPr>
                <w:b/>
                <w:bCs/>
              </w:rPr>
            </w:pPr>
            <w:r w:rsidRPr="00AA6204">
              <w:rPr>
                <w:b/>
                <w:bCs/>
              </w:rPr>
              <w:t>Education/Experience</w:t>
            </w:r>
          </w:p>
          <w:p w14:paraId="2C7B8FFA" w14:textId="47C22226" w:rsidR="00BE0B3F" w:rsidRPr="00212BBF" w:rsidRDefault="00BE0B3F" w:rsidP="001F7A14">
            <w:pPr>
              <w:pStyle w:val="NormalWeb"/>
              <w:numPr>
                <w:ilvl w:val="0"/>
                <w:numId w:val="14"/>
              </w:numPr>
              <w:jc w:val="both"/>
              <w:rPr>
                <w:color w:val="222222"/>
                <w:shd w:val="clear" w:color="auto" w:fill="FFFFFF"/>
              </w:rPr>
            </w:pPr>
            <w:r w:rsidRPr="00AA6204">
              <w:t>The consultant must h</w:t>
            </w:r>
            <w:r w:rsidR="00E67C04" w:rsidRPr="00AA6204">
              <w:t>ave</w:t>
            </w:r>
            <w:r w:rsidRPr="00AA6204">
              <w:t xml:space="preserve"> a </w:t>
            </w:r>
            <w:r w:rsidR="00EF479F">
              <w:t>Bachelor’s</w:t>
            </w:r>
            <w:r w:rsidRPr="00AA6204">
              <w:t xml:space="preserve"> degree in </w:t>
            </w:r>
            <w:r w:rsidR="00E67C04" w:rsidRPr="00AA6204">
              <w:rPr>
                <w:color w:val="222222"/>
                <w:shd w:val="clear" w:color="auto" w:fill="FFFFFF"/>
              </w:rPr>
              <w:t xml:space="preserve">Meteorology, Climate Science, Environmental Science, </w:t>
            </w:r>
            <w:r w:rsidR="00E67C04" w:rsidRPr="00AA6204">
              <w:t>Geosciences</w:t>
            </w:r>
            <w:r w:rsidR="00212BBF">
              <w:t>,</w:t>
            </w:r>
            <w:r w:rsidR="00E67C04" w:rsidRPr="00AA6204">
              <w:rPr>
                <w:color w:val="222222"/>
                <w:shd w:val="clear" w:color="auto" w:fill="FFFFFF"/>
              </w:rPr>
              <w:t xml:space="preserve"> or related fields</w:t>
            </w:r>
            <w:r w:rsidR="00E16267">
              <w:rPr>
                <w:color w:val="222222"/>
                <w:shd w:val="clear" w:color="auto" w:fill="FFFFFF"/>
              </w:rPr>
              <w:t>.</w:t>
            </w:r>
            <w:r w:rsidR="00212BBF">
              <w:rPr>
                <w:color w:val="222222"/>
                <w:shd w:val="clear" w:color="auto" w:fill="FFFFFF"/>
              </w:rPr>
              <w:t xml:space="preserve"> </w:t>
            </w:r>
            <w:r w:rsidR="00212BBF">
              <w:t>A master’s</w:t>
            </w:r>
            <w:r w:rsidRPr="00AA6204">
              <w:t xml:space="preserve"> in any of the above fields will be considered an added advantage.</w:t>
            </w:r>
          </w:p>
          <w:p w14:paraId="1B4F2E28" w14:textId="35C19D10" w:rsidR="00BE0B3F" w:rsidRDefault="00BE0B3F" w:rsidP="001F7A14">
            <w:pPr>
              <w:pStyle w:val="NormalWeb"/>
              <w:numPr>
                <w:ilvl w:val="0"/>
                <w:numId w:val="5"/>
              </w:numPr>
              <w:jc w:val="both"/>
            </w:pPr>
            <w:r w:rsidRPr="00AA6204">
              <w:t xml:space="preserve">The consultant must have at least five (5) years of proven professional experience in </w:t>
            </w:r>
            <w:r w:rsidR="00725986" w:rsidRPr="00AA6204">
              <w:rPr>
                <w:color w:val="222222"/>
                <w:shd w:val="clear" w:color="auto" w:fill="FFFFFF"/>
              </w:rPr>
              <w:t>climate change, meteorology, and capacity building</w:t>
            </w:r>
            <w:r w:rsidRPr="00AA6204">
              <w:t xml:space="preserve">, preferably within </w:t>
            </w:r>
            <w:r w:rsidR="00725986" w:rsidRPr="00AA6204">
              <w:t xml:space="preserve">Liberia, </w:t>
            </w:r>
            <w:r w:rsidRPr="00AA6204">
              <w:t>Sub-Saharan Africa</w:t>
            </w:r>
            <w:r w:rsidR="00212BBF">
              <w:t>,</w:t>
            </w:r>
            <w:r w:rsidRPr="00AA6204">
              <w:t xml:space="preserve"> or in a similar region of the world.</w:t>
            </w:r>
          </w:p>
          <w:p w14:paraId="31EAFA54" w14:textId="5A42AF48" w:rsidR="00EF479F" w:rsidRPr="00AA6204" w:rsidRDefault="00EF479F" w:rsidP="001F7A14">
            <w:pPr>
              <w:pStyle w:val="NormalWeb"/>
              <w:numPr>
                <w:ilvl w:val="0"/>
                <w:numId w:val="5"/>
              </w:numPr>
              <w:jc w:val="both"/>
            </w:pPr>
            <w:r>
              <w:t xml:space="preserve">The consultant must have demonstrated knowledge in operating hydrometeorological stations and the interpretation of </w:t>
            </w:r>
            <w:r w:rsidR="00212BBF">
              <w:t>their</w:t>
            </w:r>
            <w:r>
              <w:t xml:space="preserve"> data.</w:t>
            </w:r>
          </w:p>
          <w:p w14:paraId="3D0EFF9D" w14:textId="04651ACB" w:rsidR="00725986" w:rsidRPr="00AA6204" w:rsidRDefault="00212BBF" w:rsidP="001F7A14">
            <w:pPr>
              <w:pStyle w:val="NormalWeb"/>
              <w:numPr>
                <w:ilvl w:val="0"/>
                <w:numId w:val="5"/>
              </w:numPr>
              <w:jc w:val="both"/>
            </w:pPr>
            <w:r>
              <w:rPr>
                <w:color w:val="222222"/>
                <w:shd w:val="clear" w:color="auto" w:fill="FFFFFF"/>
              </w:rPr>
              <w:t>He/she</w:t>
            </w:r>
            <w:r w:rsidR="00EF479F">
              <w:rPr>
                <w:color w:val="222222"/>
                <w:shd w:val="clear" w:color="auto" w:fill="FFFFFF"/>
              </w:rPr>
              <w:t xml:space="preserve"> must have an i</w:t>
            </w:r>
            <w:r w:rsidR="00725986" w:rsidRPr="00AA6204">
              <w:rPr>
                <w:color w:val="222222"/>
                <w:shd w:val="clear" w:color="auto" w:fill="FFFFFF"/>
              </w:rPr>
              <w:t>n-depth understanding of hydrometeorological systems, climate change impacts, and early warning systems</w:t>
            </w:r>
            <w:r w:rsidR="00EF479F">
              <w:rPr>
                <w:color w:val="222222"/>
                <w:shd w:val="clear" w:color="auto" w:fill="FFFFFF"/>
              </w:rPr>
              <w:t xml:space="preserve"> demo</w:t>
            </w:r>
            <w:r w:rsidR="00F76AC0">
              <w:rPr>
                <w:color w:val="222222"/>
                <w:shd w:val="clear" w:color="auto" w:fill="FFFFFF"/>
              </w:rPr>
              <w:t>n</w:t>
            </w:r>
            <w:r w:rsidR="00EF479F">
              <w:rPr>
                <w:color w:val="222222"/>
                <w:shd w:val="clear" w:color="auto" w:fill="FFFFFF"/>
              </w:rPr>
              <w:t>strated</w:t>
            </w:r>
            <w:r w:rsidR="00F76AC0">
              <w:rPr>
                <w:color w:val="222222"/>
                <w:shd w:val="clear" w:color="auto" w:fill="FFFFFF"/>
              </w:rPr>
              <w:t xml:space="preserve"> by experience</w:t>
            </w:r>
            <w:r w:rsidR="00725986" w:rsidRPr="00AA6204">
              <w:rPr>
                <w:color w:val="222222"/>
                <w:shd w:val="clear" w:color="auto" w:fill="FFFFFF"/>
              </w:rPr>
              <w:t>.</w:t>
            </w:r>
          </w:p>
          <w:p w14:paraId="67C674C4" w14:textId="6C686D4E" w:rsidR="0037208E" w:rsidRPr="00AA6204" w:rsidRDefault="00F76AC0" w:rsidP="001F7A14">
            <w:pPr>
              <w:pStyle w:val="NormalWeb"/>
              <w:numPr>
                <w:ilvl w:val="0"/>
                <w:numId w:val="5"/>
              </w:numPr>
              <w:jc w:val="both"/>
            </w:pPr>
            <w:r>
              <w:lastRenderedPageBreak/>
              <w:t>The consultant must have</w:t>
            </w:r>
            <w:r w:rsidR="00725986" w:rsidRPr="00AA6204">
              <w:t xml:space="preserve"> p</w:t>
            </w:r>
            <w:r w:rsidR="00725986" w:rsidRPr="00AA6204">
              <w:rPr>
                <w:color w:val="222222"/>
                <w:shd w:val="clear" w:color="auto" w:fill="FFFFFF"/>
              </w:rPr>
              <w:t>roven</w:t>
            </w:r>
            <w:r w:rsidR="00725986" w:rsidRPr="00AA6204">
              <w:t xml:space="preserve"> expertise </w:t>
            </w:r>
            <w:r w:rsidR="00725986" w:rsidRPr="00AA6204">
              <w:rPr>
                <w:color w:val="222222"/>
                <w:shd w:val="clear" w:color="auto" w:fill="FFFFFF"/>
              </w:rPr>
              <w:t>in designing and delivering effective training programs, particularly in climate change and risk management.</w:t>
            </w:r>
          </w:p>
          <w:p w14:paraId="29B40846" w14:textId="77777777" w:rsidR="000F4A07" w:rsidRPr="00AA6204" w:rsidRDefault="00BE0B3F" w:rsidP="000F4A07">
            <w:pPr>
              <w:pStyle w:val="NormalWeb"/>
              <w:numPr>
                <w:ilvl w:val="0"/>
                <w:numId w:val="5"/>
              </w:numPr>
              <w:jc w:val="both"/>
            </w:pPr>
            <w:r w:rsidRPr="00AA6204">
              <w:t xml:space="preserve">Experience working with government institutions, development partners, and local communities in </w:t>
            </w:r>
            <w:r w:rsidR="0037208E" w:rsidRPr="00AA6204">
              <w:t>climate monitoring</w:t>
            </w:r>
            <w:r w:rsidRPr="00AA6204">
              <w:t xml:space="preserve">. </w:t>
            </w:r>
          </w:p>
          <w:p w14:paraId="3280CEE0" w14:textId="77777777" w:rsidR="000F4A07" w:rsidRPr="00AA6204" w:rsidRDefault="00BE0B3F" w:rsidP="000F4A07">
            <w:pPr>
              <w:pStyle w:val="NormalWeb"/>
              <w:numPr>
                <w:ilvl w:val="0"/>
                <w:numId w:val="5"/>
              </w:numPr>
              <w:jc w:val="both"/>
            </w:pPr>
            <w:r w:rsidRPr="00AA6204">
              <w:t>Strong analytical, communication, and reporting skills</w:t>
            </w:r>
          </w:p>
          <w:p w14:paraId="16A99230" w14:textId="21B4DCA1" w:rsidR="00BE0B3F" w:rsidRPr="00AA6204" w:rsidRDefault="00BE0B3F" w:rsidP="000F4A07">
            <w:pPr>
              <w:pStyle w:val="NormalWeb"/>
              <w:numPr>
                <w:ilvl w:val="0"/>
                <w:numId w:val="5"/>
              </w:numPr>
              <w:jc w:val="both"/>
              <w:rPr>
                <w:rStyle w:val="Strong"/>
                <w:b w:val="0"/>
                <w:bCs w:val="0"/>
              </w:rPr>
            </w:pPr>
            <w:r w:rsidRPr="00AA6204">
              <w:t>Ability to work across disciplines and engage with diverse stakeholders, including national agencies, local governments, civil society organizations, women, youth, and people with disabilities. Effective organizational and time management skills, with the ability to deliver high-quality outputs within agreed timelines.</w:t>
            </w:r>
          </w:p>
        </w:tc>
      </w:tr>
    </w:tbl>
    <w:p w14:paraId="4F8B548A" w14:textId="77777777" w:rsidR="00BE0B3F" w:rsidRPr="00AA6204" w:rsidRDefault="00BE0B3F" w:rsidP="00BE0B3F">
      <w:pPr>
        <w:rPr>
          <w:b/>
          <w:bCs/>
        </w:rPr>
      </w:pPr>
    </w:p>
    <w:p w14:paraId="2F37211B" w14:textId="77777777" w:rsidR="00BE0B3F" w:rsidRPr="00AA6204" w:rsidRDefault="00BE0B3F" w:rsidP="00BE0B3F">
      <w:pPr>
        <w:pStyle w:val="ListParagraph"/>
        <w:numPr>
          <w:ilvl w:val="0"/>
          <w:numId w:val="1"/>
        </w:numPr>
        <w:rPr>
          <w:b/>
          <w:bCs/>
        </w:rPr>
      </w:pPr>
      <w:r w:rsidRPr="00AA6204">
        <w:rPr>
          <w:b/>
          <w:bCs/>
        </w:rPr>
        <w:t>CONTRACT &amp; REPORTING</w:t>
      </w:r>
    </w:p>
    <w:tbl>
      <w:tblPr>
        <w:tblStyle w:val="TableGrid"/>
        <w:tblW w:w="10260" w:type="dxa"/>
        <w:tblInd w:w="-365" w:type="dxa"/>
        <w:tblLook w:val="04A0" w:firstRow="1" w:lastRow="0" w:firstColumn="1" w:lastColumn="0" w:noHBand="0" w:noVBand="1"/>
      </w:tblPr>
      <w:tblGrid>
        <w:gridCol w:w="10260"/>
      </w:tblGrid>
      <w:tr w:rsidR="00BE0B3F" w:rsidRPr="00AA6204" w14:paraId="2E57553A" w14:textId="77777777" w:rsidTr="001F7A14">
        <w:tc>
          <w:tcPr>
            <w:tcW w:w="10260" w:type="dxa"/>
          </w:tcPr>
          <w:p w14:paraId="70FDD3A9" w14:textId="1FA98591" w:rsidR="00BE0B3F" w:rsidRPr="00AA6204" w:rsidRDefault="00BE0B3F" w:rsidP="001F7A14">
            <w:pPr>
              <w:pStyle w:val="NormalWeb"/>
            </w:pPr>
            <w:r w:rsidRPr="00AA6204">
              <w:t>The consultant shall report directly to the Project Manager</w:t>
            </w:r>
            <w:r w:rsidR="00212BBF">
              <w:t>,</w:t>
            </w:r>
            <w:r w:rsidRPr="00AA6204">
              <w:t xml:space="preserve"> </w:t>
            </w:r>
            <w:r w:rsidR="000F4A07" w:rsidRPr="00AA6204">
              <w:t xml:space="preserve">who is </w:t>
            </w:r>
            <w:r w:rsidRPr="00AA6204">
              <w:t>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54ADE5D7" w14:textId="77777777" w:rsidR="00BE0B3F" w:rsidRPr="00AA6204" w:rsidRDefault="00BE0B3F" w:rsidP="001F7A14">
            <w:r w:rsidRPr="00AA6204">
              <w:t>The EPA reserves the right to terminate the contract should the consultant’s performance fall below agreed standards or fail to meet the project’s requirements.</w:t>
            </w:r>
          </w:p>
        </w:tc>
      </w:tr>
    </w:tbl>
    <w:p w14:paraId="6C6FB433" w14:textId="77777777" w:rsidR="00BE0B3F" w:rsidRPr="00AA6204" w:rsidRDefault="00BE0B3F" w:rsidP="00BE0B3F"/>
    <w:p w14:paraId="14610BCE" w14:textId="77777777" w:rsidR="00BE0B3F" w:rsidRPr="00AA6204" w:rsidRDefault="00BE0B3F" w:rsidP="00BE0B3F">
      <w:pPr>
        <w:pStyle w:val="ListParagraph"/>
        <w:numPr>
          <w:ilvl w:val="0"/>
          <w:numId w:val="1"/>
        </w:numPr>
        <w:rPr>
          <w:b/>
          <w:bCs/>
        </w:rPr>
      </w:pPr>
      <w:r w:rsidRPr="00AA6204">
        <w:rPr>
          <w:b/>
          <w:bCs/>
        </w:rPr>
        <w:t>SUBMISSION OF APPLICATION</w:t>
      </w:r>
    </w:p>
    <w:tbl>
      <w:tblPr>
        <w:tblStyle w:val="TableGrid"/>
        <w:tblW w:w="10260" w:type="dxa"/>
        <w:tblInd w:w="-365" w:type="dxa"/>
        <w:tblLook w:val="04A0" w:firstRow="1" w:lastRow="0" w:firstColumn="1" w:lastColumn="0" w:noHBand="0" w:noVBand="1"/>
      </w:tblPr>
      <w:tblGrid>
        <w:gridCol w:w="10260"/>
      </w:tblGrid>
      <w:tr w:rsidR="00BE0B3F" w:rsidRPr="00AA6204" w14:paraId="5899AF3F" w14:textId="77777777" w:rsidTr="001F7A14">
        <w:trPr>
          <w:trHeight w:val="2538"/>
        </w:trPr>
        <w:tc>
          <w:tcPr>
            <w:tcW w:w="10260" w:type="dxa"/>
          </w:tcPr>
          <w:p w14:paraId="6A0E9A4D" w14:textId="77777777" w:rsidR="00BE0B3F" w:rsidRPr="00AA6204" w:rsidRDefault="00BE0B3F" w:rsidP="001F7A14">
            <w:pPr>
              <w:pStyle w:val="NormalWeb"/>
            </w:pPr>
            <w:r w:rsidRPr="00AA6204">
              <w:t>Interested National consultants are invited to submit the following application package electronically and by hard copy:</w:t>
            </w:r>
          </w:p>
          <w:p w14:paraId="4D426C37" w14:textId="2CB92EDB" w:rsidR="00BE0B3F" w:rsidRPr="00AA6204" w:rsidRDefault="00BE0B3F" w:rsidP="001F7A14">
            <w:pPr>
              <w:pStyle w:val="NormalWeb"/>
              <w:numPr>
                <w:ilvl w:val="0"/>
                <w:numId w:val="6"/>
              </w:numPr>
            </w:pPr>
            <w:r w:rsidRPr="00AA6204">
              <w:t xml:space="preserve">A detailed </w:t>
            </w:r>
            <w:r w:rsidR="00403B87" w:rsidRPr="00403B87">
              <w:rPr>
                <w:b/>
                <w:bCs/>
              </w:rPr>
              <w:t>Te</w:t>
            </w:r>
            <w:r w:rsidRPr="00AA6204">
              <w:rPr>
                <w:rStyle w:val="Strong"/>
                <w:rFonts w:eastAsiaTheme="majorEastAsia"/>
              </w:rPr>
              <w:t>chnical Proposal</w:t>
            </w:r>
            <w:r w:rsidRPr="00AA6204">
              <w:t xml:space="preserve"> outlining the consultant’s understanding of the assignment, implementation methodology, and work plan;</w:t>
            </w:r>
          </w:p>
          <w:p w14:paraId="083E5792" w14:textId="77777777" w:rsidR="00BE0B3F" w:rsidRPr="00AA6204" w:rsidRDefault="00BE0B3F" w:rsidP="001F7A14">
            <w:pPr>
              <w:pStyle w:val="NormalWeb"/>
              <w:numPr>
                <w:ilvl w:val="0"/>
                <w:numId w:val="6"/>
              </w:numPr>
            </w:pPr>
            <w:r w:rsidRPr="00AA6204">
              <w:t>A detailed</w:t>
            </w:r>
            <w:r w:rsidRPr="00AA6204">
              <w:rPr>
                <w:rStyle w:val="Strong"/>
                <w:rFonts w:eastAsiaTheme="majorEastAsia"/>
              </w:rPr>
              <w:t xml:space="preserve"> Financial Proposal</w:t>
            </w:r>
            <w:r w:rsidRPr="00AA6204">
              <w:t xml:space="preserve"> indicating daily rates and total costs for delivering the assignment;</w:t>
            </w:r>
          </w:p>
          <w:p w14:paraId="5AB22A7E" w14:textId="77777777" w:rsidR="00BE0B3F" w:rsidRPr="00AA6204" w:rsidRDefault="00BE0B3F" w:rsidP="001F7A14">
            <w:pPr>
              <w:pStyle w:val="NormalWeb"/>
              <w:numPr>
                <w:ilvl w:val="0"/>
                <w:numId w:val="6"/>
              </w:numPr>
            </w:pPr>
            <w:r w:rsidRPr="00AA6204">
              <w:t>A o</w:t>
            </w:r>
            <w:r w:rsidRPr="00AA6204">
              <w:rPr>
                <w:rStyle w:val="Strong"/>
                <w:rFonts w:eastAsiaTheme="majorEastAsia"/>
              </w:rPr>
              <w:t>ne-page cover letter</w:t>
            </w:r>
            <w:r w:rsidRPr="00AA6204">
              <w:t>;</w:t>
            </w:r>
          </w:p>
          <w:p w14:paraId="0015154B" w14:textId="77777777" w:rsidR="00BE0B3F" w:rsidRPr="00AA6204" w:rsidRDefault="00BE0B3F" w:rsidP="001F7A14">
            <w:pPr>
              <w:pStyle w:val="NormalWeb"/>
              <w:numPr>
                <w:ilvl w:val="0"/>
                <w:numId w:val="6"/>
              </w:numPr>
            </w:pPr>
            <w:r w:rsidRPr="00AA6204">
              <w:t xml:space="preserve">An updated </w:t>
            </w:r>
            <w:r w:rsidRPr="00AA6204">
              <w:rPr>
                <w:rStyle w:val="Strong"/>
                <w:rFonts w:eastAsiaTheme="majorEastAsia"/>
              </w:rPr>
              <w:t>Curriculum Vitae (CV)</w:t>
            </w:r>
            <w:r w:rsidRPr="00AA6204">
              <w:t xml:space="preserve"> highlighting relevant qualifications and experience;</w:t>
            </w:r>
          </w:p>
          <w:p w14:paraId="43DE98D7" w14:textId="77777777" w:rsidR="00BE0B3F" w:rsidRPr="00AA6204" w:rsidRDefault="00BE0B3F" w:rsidP="001F7A14">
            <w:pPr>
              <w:pStyle w:val="NormalWeb"/>
              <w:numPr>
                <w:ilvl w:val="0"/>
                <w:numId w:val="6"/>
              </w:numPr>
            </w:pPr>
            <w:r w:rsidRPr="00AA6204">
              <w:t xml:space="preserve">Copies of </w:t>
            </w:r>
            <w:r w:rsidRPr="00AA6204">
              <w:rPr>
                <w:rStyle w:val="Strong"/>
                <w:rFonts w:eastAsiaTheme="majorEastAsia"/>
              </w:rPr>
              <w:t>academic credentials</w:t>
            </w:r>
            <w:r w:rsidRPr="00AA6204">
              <w:t xml:space="preserve"> and professional certifications;</w:t>
            </w:r>
          </w:p>
          <w:p w14:paraId="4D9A4B98" w14:textId="77777777" w:rsidR="00BE0B3F" w:rsidRPr="00AA6204" w:rsidRDefault="00BE0B3F" w:rsidP="001F7A14">
            <w:pPr>
              <w:pStyle w:val="NormalWeb"/>
              <w:numPr>
                <w:ilvl w:val="0"/>
                <w:numId w:val="6"/>
              </w:numPr>
            </w:pPr>
            <w:r w:rsidRPr="00AA6204">
              <w:t xml:space="preserve">Evidence of </w:t>
            </w:r>
            <w:r w:rsidRPr="00AA6204">
              <w:rPr>
                <w:rStyle w:val="Strong"/>
                <w:rFonts w:eastAsiaTheme="majorEastAsia"/>
              </w:rPr>
              <w:t>past performance</w:t>
            </w:r>
            <w:r w:rsidRPr="00AA6204">
              <w:t xml:space="preserve"> in similar assignments (sample reports, references, or contracts).</w:t>
            </w:r>
          </w:p>
          <w:p w14:paraId="3352E561" w14:textId="6C326123" w:rsidR="00BE0B3F" w:rsidRPr="00AA6204" w:rsidRDefault="00BE0B3F" w:rsidP="001F7A14">
            <w:pPr>
              <w:pStyle w:val="NoSpacing"/>
              <w:jc w:val="both"/>
              <w:rPr>
                <w:rFonts w:ascii="Times New Roman" w:eastAsia="Times New Roman" w:hAnsi="Times New Roman" w:cs="Times New Roman"/>
                <w:sz w:val="24"/>
                <w:szCs w:val="24"/>
              </w:rPr>
            </w:pPr>
            <w:r w:rsidRPr="00AA6204">
              <w:rPr>
                <w:rFonts w:ascii="Times New Roman" w:hAnsi="Times New Roman" w:cs="Times New Roman"/>
                <w:sz w:val="24"/>
                <w:szCs w:val="24"/>
              </w:rPr>
              <w:t xml:space="preserve">All submissions must be sent </w:t>
            </w:r>
            <w:r w:rsidRPr="00AA6204">
              <w:rPr>
                <w:rStyle w:val="Strong"/>
                <w:rFonts w:ascii="Times New Roman" w:eastAsiaTheme="majorEastAsia" w:hAnsi="Times New Roman" w:cs="Times New Roman"/>
                <w:color w:val="FF3300"/>
                <w:sz w:val="24"/>
                <w:szCs w:val="24"/>
              </w:rPr>
              <w:t>via email</w:t>
            </w:r>
            <w:r w:rsidRPr="00AA6204">
              <w:rPr>
                <w:rStyle w:val="Strong"/>
                <w:rFonts w:ascii="Times New Roman" w:eastAsiaTheme="majorEastAsia" w:hAnsi="Times New Roman" w:cs="Times New Roman"/>
                <w:sz w:val="24"/>
                <w:szCs w:val="24"/>
              </w:rPr>
              <w:t xml:space="preserve"> </w:t>
            </w:r>
            <w:r w:rsidRPr="00AA6204">
              <w:rPr>
                <w:rFonts w:ascii="Times New Roman" w:eastAsia="Times New Roman" w:hAnsi="Times New Roman" w:cs="Times New Roman"/>
                <w:sz w:val="24"/>
                <w:szCs w:val="24"/>
              </w:rPr>
              <w:t xml:space="preserve">to the </w:t>
            </w:r>
            <w:r w:rsidR="00212BBF">
              <w:rPr>
                <w:rFonts w:ascii="Times New Roman" w:eastAsia="Times New Roman" w:hAnsi="Times New Roman" w:cs="Times New Roman"/>
                <w:sz w:val="24"/>
                <w:szCs w:val="24"/>
              </w:rPr>
              <w:t>address below</w:t>
            </w:r>
            <w:r w:rsidRPr="00AA6204">
              <w:rPr>
                <w:rFonts w:ascii="Times New Roman" w:eastAsia="Times New Roman" w:hAnsi="Times New Roman" w:cs="Times New Roman"/>
                <w:sz w:val="24"/>
                <w:szCs w:val="24"/>
              </w:rPr>
              <w:t xml:space="preserve"> and by email at </w:t>
            </w:r>
            <w:hyperlink r:id="rId7" w:history="1">
              <w:r w:rsidRPr="00AA6204">
                <w:rPr>
                  <w:rStyle w:val="Hyperlink"/>
                  <w:rFonts w:ascii="Times New Roman" w:hAnsi="Times New Roman" w:cs="Times New Roman"/>
                  <w:sz w:val="24"/>
                  <w:szCs w:val="24"/>
                </w:rPr>
                <w:t>maldonakarway1@gmail.com</w:t>
              </w:r>
            </w:hyperlink>
            <w:r w:rsidRPr="00AA6204">
              <w:rPr>
                <w:rFonts w:ascii="Times New Roman" w:eastAsia="Times New Roman" w:hAnsi="Times New Roman" w:cs="Times New Roman"/>
                <w:sz w:val="24"/>
                <w:szCs w:val="24"/>
              </w:rPr>
              <w:t xml:space="preserve"> and CC: </w:t>
            </w:r>
            <w:hyperlink r:id="rId8" w:history="1">
              <w:r w:rsidR="00212BBF">
                <w:rPr>
                  <w:rStyle w:val="Hyperlink"/>
                  <w:rFonts w:ascii="Times New Roman" w:eastAsia="Times New Roman" w:hAnsi="Times New Roman" w:cs="Times New Roman"/>
                  <w:sz w:val="24"/>
                  <w:szCs w:val="24"/>
                </w:rPr>
                <w:t>princessblango@gmail.com,</w:t>
              </w:r>
            </w:hyperlink>
            <w:r w:rsidRPr="00AA6204">
              <w:rPr>
                <w:rFonts w:ascii="Times New Roman" w:eastAsia="Times New Roman" w:hAnsi="Times New Roman" w:cs="Times New Roman"/>
                <w:sz w:val="24"/>
                <w:szCs w:val="24"/>
              </w:rPr>
              <w:t xml:space="preserve"> indicating their suitability for the post.</w:t>
            </w:r>
          </w:p>
          <w:p w14:paraId="0E3687F1" w14:textId="08FC9312" w:rsidR="00BE0B3F" w:rsidRPr="00AA6204" w:rsidRDefault="00BE0B3F" w:rsidP="001F7A14">
            <w:pPr>
              <w:pStyle w:val="NormalWeb"/>
            </w:pPr>
            <w:r w:rsidRPr="00AA6204">
              <w:t>Please indicate</w:t>
            </w:r>
            <w:r w:rsidRPr="00AA6204">
              <w:rPr>
                <w:rStyle w:val="Strong"/>
                <w:rFonts w:eastAsiaTheme="majorEastAsia"/>
              </w:rPr>
              <w:t xml:space="preserve"> </w:t>
            </w:r>
            <w:r w:rsidRPr="00A4192A">
              <w:rPr>
                <w:rStyle w:val="Strong"/>
                <w:rFonts w:eastAsiaTheme="majorEastAsia"/>
                <w:b w:val="0"/>
                <w:bCs w:val="0"/>
              </w:rPr>
              <w:t>“</w:t>
            </w:r>
            <w:r w:rsidR="00675B98" w:rsidRPr="00A4192A">
              <w:rPr>
                <w:b/>
                <w:bCs/>
              </w:rPr>
              <w:t>National Climate Change and Early Warning Expert to Design and Deliver Training</w:t>
            </w:r>
            <w:r w:rsidRPr="00A4192A">
              <w:rPr>
                <w:rStyle w:val="Strong"/>
                <w:rFonts w:eastAsiaTheme="majorEastAsia"/>
                <w:b w:val="0"/>
                <w:bCs w:val="0"/>
              </w:rPr>
              <w:t>”</w:t>
            </w:r>
            <w:r w:rsidRPr="00AA6204">
              <w:rPr>
                <w:rStyle w:val="Strong"/>
                <w:rFonts w:eastAsiaTheme="majorEastAsia"/>
              </w:rPr>
              <w:t xml:space="preserve"> </w:t>
            </w:r>
            <w:r w:rsidRPr="00AA6204">
              <w:t xml:space="preserve">in the subject line. </w:t>
            </w:r>
          </w:p>
          <w:p w14:paraId="5D09E9E3" w14:textId="77777777" w:rsidR="00BE0B3F" w:rsidRPr="00AA6204" w:rsidRDefault="00BE0B3F" w:rsidP="001F7A14">
            <w:pPr>
              <w:pStyle w:val="NoSpacing"/>
              <w:jc w:val="both"/>
              <w:rPr>
                <w:rFonts w:ascii="Times New Roman" w:eastAsia="Times New Roman" w:hAnsi="Times New Roman" w:cs="Times New Roman"/>
                <w:sz w:val="24"/>
                <w:szCs w:val="24"/>
              </w:rPr>
            </w:pPr>
          </w:p>
          <w:p w14:paraId="605E924A" w14:textId="77777777" w:rsidR="00BE0B3F" w:rsidRPr="00AA6204" w:rsidRDefault="00BE0B3F" w:rsidP="001F7A14">
            <w:pPr>
              <w:widowControl w:val="0"/>
              <w:spacing w:line="276" w:lineRule="auto"/>
              <w:jc w:val="both"/>
              <w:rPr>
                <w:b/>
              </w:rPr>
            </w:pPr>
            <w:r w:rsidRPr="00AA6204">
              <w:rPr>
                <w:b/>
              </w:rPr>
              <w:t>ATTENTION:</w:t>
            </w:r>
          </w:p>
          <w:p w14:paraId="271EFF25" w14:textId="77777777" w:rsidR="00BE0B3F" w:rsidRPr="00AA6204" w:rsidRDefault="00BE0B3F" w:rsidP="001F7A14">
            <w:pPr>
              <w:widowControl w:val="0"/>
              <w:spacing w:line="276" w:lineRule="auto"/>
              <w:jc w:val="both"/>
              <w:rPr>
                <w:b/>
              </w:rPr>
            </w:pPr>
          </w:p>
          <w:p w14:paraId="6B2EF53F" w14:textId="77777777" w:rsidR="00BE0B3F" w:rsidRPr="00AA6204" w:rsidRDefault="00BE0B3F" w:rsidP="001F7A14">
            <w:pPr>
              <w:widowControl w:val="0"/>
              <w:spacing w:line="276" w:lineRule="auto"/>
              <w:jc w:val="both"/>
              <w:rPr>
                <w:b/>
              </w:rPr>
            </w:pPr>
            <w:r w:rsidRPr="00AA6204">
              <w:rPr>
                <w:b/>
              </w:rPr>
              <w:t xml:space="preserve">Maldona </w:t>
            </w:r>
            <w:r w:rsidRPr="00AA6204">
              <w:rPr>
                <w:b/>
                <w:bCs/>
              </w:rPr>
              <w:t>K. Karway</w:t>
            </w:r>
          </w:p>
          <w:p w14:paraId="038364AE" w14:textId="77777777" w:rsidR="00BE0B3F" w:rsidRPr="00AA6204" w:rsidRDefault="00BE0B3F" w:rsidP="001F7A14">
            <w:pPr>
              <w:widowControl w:val="0"/>
              <w:spacing w:line="276" w:lineRule="auto"/>
              <w:jc w:val="both"/>
              <w:rPr>
                <w:b/>
              </w:rPr>
            </w:pPr>
            <w:r w:rsidRPr="00AA6204">
              <w:rPr>
                <w:b/>
              </w:rPr>
              <w:t>Procurement Off</w:t>
            </w:r>
            <w:r w:rsidRPr="00AA6204">
              <w:rPr>
                <w:b/>
                <w:bCs/>
                <w:lang w:val="en-GB"/>
              </w:rPr>
              <w:t>i</w:t>
            </w:r>
            <w:r w:rsidRPr="00AA6204">
              <w:rPr>
                <w:b/>
              </w:rPr>
              <w:t>cer</w:t>
            </w:r>
          </w:p>
          <w:p w14:paraId="62BA252D" w14:textId="77777777" w:rsidR="00BE0B3F" w:rsidRPr="00AA6204" w:rsidRDefault="00BE0B3F" w:rsidP="001F7A14">
            <w:pPr>
              <w:widowControl w:val="0"/>
              <w:spacing w:line="276" w:lineRule="auto"/>
              <w:jc w:val="both"/>
              <w:rPr>
                <w:b/>
              </w:rPr>
            </w:pPr>
            <w:r w:rsidRPr="00AA6204">
              <w:rPr>
                <w:b/>
              </w:rPr>
              <w:t>Enhancing the Res</w:t>
            </w:r>
            <w:r w:rsidRPr="00AA6204">
              <w:rPr>
                <w:b/>
                <w:lang w:val="en-GB"/>
              </w:rPr>
              <w:t>ilience of Vulnerable Coastal Communities in Sinoe (ERVCCS)</w:t>
            </w:r>
          </w:p>
          <w:p w14:paraId="1A311182" w14:textId="77777777" w:rsidR="00BE0B3F" w:rsidRPr="00AA6204" w:rsidRDefault="00BE0B3F" w:rsidP="001F7A14">
            <w:pPr>
              <w:widowControl w:val="0"/>
              <w:spacing w:line="276" w:lineRule="auto"/>
              <w:jc w:val="both"/>
              <w:rPr>
                <w:b/>
              </w:rPr>
            </w:pPr>
            <w:r w:rsidRPr="00AA6204">
              <w:rPr>
                <w:b/>
              </w:rPr>
              <w:t>Environment Protection Agency (EPA)</w:t>
            </w:r>
          </w:p>
          <w:p w14:paraId="677959C1" w14:textId="77777777" w:rsidR="00BE0B3F" w:rsidRPr="00AA6204" w:rsidRDefault="00BE0B3F" w:rsidP="001F7A14">
            <w:pPr>
              <w:widowControl w:val="0"/>
              <w:spacing w:line="276" w:lineRule="auto"/>
              <w:jc w:val="both"/>
              <w:rPr>
                <w:b/>
              </w:rPr>
            </w:pPr>
            <w:r w:rsidRPr="00AA6204">
              <w:rPr>
                <w:b/>
              </w:rPr>
              <w:t>302-A Bright Building</w:t>
            </w:r>
          </w:p>
          <w:p w14:paraId="35751D6D" w14:textId="77777777" w:rsidR="00BE0B3F" w:rsidRPr="00AA6204" w:rsidRDefault="00BE0B3F" w:rsidP="001F7A14">
            <w:pPr>
              <w:widowControl w:val="0"/>
              <w:spacing w:line="276" w:lineRule="auto"/>
              <w:jc w:val="both"/>
              <w:rPr>
                <w:b/>
              </w:rPr>
            </w:pPr>
            <w:r w:rsidRPr="00AA6204">
              <w:rPr>
                <w:b/>
              </w:rPr>
              <w:t>Old CID-Road, Mamba Point</w:t>
            </w:r>
          </w:p>
          <w:p w14:paraId="68F6B00B" w14:textId="77777777" w:rsidR="00BE0B3F" w:rsidRPr="00AA6204" w:rsidRDefault="00BE0B3F" w:rsidP="001F7A14">
            <w:pPr>
              <w:widowControl w:val="0"/>
              <w:spacing w:line="276" w:lineRule="auto"/>
              <w:jc w:val="both"/>
              <w:rPr>
                <w:b/>
              </w:rPr>
            </w:pPr>
            <w:r w:rsidRPr="00AA6204">
              <w:rPr>
                <w:b/>
              </w:rPr>
              <w:t>1000 Monrovia, 10 Liberia</w:t>
            </w:r>
          </w:p>
          <w:p w14:paraId="5ACC80D8" w14:textId="77777777" w:rsidR="00BE0B3F" w:rsidRPr="00AA6204" w:rsidRDefault="00BE0B3F" w:rsidP="001F7A14">
            <w:pPr>
              <w:widowControl w:val="0"/>
              <w:spacing w:line="276" w:lineRule="auto"/>
              <w:jc w:val="both"/>
              <w:rPr>
                <w:b/>
              </w:rPr>
            </w:pPr>
          </w:p>
          <w:p w14:paraId="7277B90E" w14:textId="77777777" w:rsidR="00BE0B3F" w:rsidRPr="00AA6204" w:rsidRDefault="00BE0B3F" w:rsidP="001F7A14">
            <w:pPr>
              <w:widowControl w:val="0"/>
              <w:spacing w:line="276" w:lineRule="auto"/>
              <w:jc w:val="both"/>
              <w:rPr>
                <w:b/>
              </w:rPr>
            </w:pPr>
            <w:r w:rsidRPr="00AA6204">
              <w:rPr>
                <w:b/>
                <w:bCs/>
                <w:color w:val="FF0000"/>
              </w:rPr>
              <w:t>*Female candidates are highly encouraged to apply!</w:t>
            </w:r>
          </w:p>
          <w:p w14:paraId="76033F13" w14:textId="09D24684" w:rsidR="00BE0B3F" w:rsidRPr="00AA6204" w:rsidRDefault="00BE0B3F" w:rsidP="001F7A14">
            <w:pPr>
              <w:widowControl w:val="0"/>
              <w:spacing w:after="200" w:line="276" w:lineRule="auto"/>
              <w:jc w:val="both"/>
            </w:pPr>
            <w:r w:rsidRPr="00AA6204">
              <w:t>The closing date for submission of applications is</w:t>
            </w:r>
            <w:r w:rsidRPr="00AA6204">
              <w:rPr>
                <w:color w:val="FF0000"/>
              </w:rPr>
              <w:t xml:space="preserve"> 4:00 PM on </w:t>
            </w:r>
            <w:r w:rsidR="00176880">
              <w:rPr>
                <w:color w:val="FF0000"/>
              </w:rPr>
              <w:t>July</w:t>
            </w:r>
            <w:r w:rsidR="00C6350C" w:rsidRPr="00AA6204">
              <w:rPr>
                <w:color w:val="FF0000"/>
              </w:rPr>
              <w:t xml:space="preserve"> </w:t>
            </w:r>
            <w:r w:rsidR="00A4192A">
              <w:rPr>
                <w:color w:val="FF0000"/>
              </w:rPr>
              <w:t>6</w:t>
            </w:r>
            <w:r w:rsidR="00C6350C" w:rsidRPr="00AA6204">
              <w:rPr>
                <w:color w:val="FF0000"/>
              </w:rPr>
              <w:t>,</w:t>
            </w:r>
            <w:r w:rsidRPr="00AA6204">
              <w:rPr>
                <w:color w:val="FF0000"/>
              </w:rPr>
              <w:t xml:space="preserve"> 202</w:t>
            </w:r>
            <w:r w:rsidR="00C6350C" w:rsidRPr="00AA6204">
              <w:rPr>
                <w:color w:val="FF0000"/>
              </w:rPr>
              <w:t>6</w:t>
            </w:r>
            <w:r w:rsidRPr="00AA6204">
              <w:t xml:space="preserve">. Any submission received after this deadline will not be considered. Only applicants who meet the requirements as outlined in the terms of reference will be considered for evaluation. </w:t>
            </w:r>
          </w:p>
          <w:p w14:paraId="7597B8CE" w14:textId="77777777" w:rsidR="00BE0B3F" w:rsidRPr="00AA6204" w:rsidRDefault="00BE0B3F" w:rsidP="001F7A14">
            <w:r w:rsidRPr="00AA6204">
              <w:t xml:space="preserve">NOTE: This information is also posted on </w:t>
            </w:r>
            <w:hyperlink r:id="rId9">
              <w:r w:rsidRPr="00AA6204">
                <w:rPr>
                  <w:color w:val="00B0F0"/>
                  <w:u w:val="single"/>
                </w:rPr>
                <w:t>https://www.emansion.gov.lr/</w:t>
              </w:r>
            </w:hyperlink>
            <w:r w:rsidRPr="00AA6204">
              <w:rPr>
                <w:color w:val="00B0F0"/>
              </w:rPr>
              <w:t xml:space="preserve">, </w:t>
            </w:r>
            <w:hyperlink r:id="rId10">
              <w:r w:rsidRPr="00AA6204">
                <w:rPr>
                  <w:color w:val="00B0F0"/>
                  <w:u w:val="single"/>
                </w:rPr>
                <w:t>https://www.epa.gov.lr/</w:t>
              </w:r>
            </w:hyperlink>
            <w:r w:rsidRPr="00AA6204">
              <w:rPr>
                <w:color w:val="00B0F0"/>
              </w:rPr>
              <w:t xml:space="preserve">, </w:t>
            </w:r>
            <w:hyperlink r:id="rId11">
              <w:r w:rsidRPr="00AA6204">
                <w:rPr>
                  <w:color w:val="00B0F0"/>
                  <w:u w:val="single"/>
                </w:rPr>
                <w:t>https://www.undp.org/</w:t>
              </w:r>
            </w:hyperlink>
            <w:r w:rsidRPr="00AA6204">
              <w:rPr>
                <w:color w:val="00B0F0"/>
              </w:rPr>
              <w:t xml:space="preserve">, </w:t>
            </w:r>
            <w:hyperlink r:id="rId12" w:history="1">
              <w:r w:rsidRPr="00AA6204">
                <w:rPr>
                  <w:rStyle w:val="Hyperlink"/>
                  <w:rFonts w:eastAsiaTheme="majorEastAsia"/>
                  <w:color w:val="00B0F0"/>
                </w:rPr>
                <w:t>www.mme.gov.lr</w:t>
              </w:r>
            </w:hyperlink>
            <w:r w:rsidRPr="00AA6204">
              <w:rPr>
                <w:color w:val="00B0F0"/>
              </w:rPr>
              <w:t xml:space="preserve"> </w:t>
            </w:r>
            <w:r w:rsidRPr="00AA6204">
              <w:t>and can be found in local dailies.</w:t>
            </w:r>
            <w:r w:rsidRPr="00AA6204">
              <w:rPr>
                <w:rFonts w:eastAsia="Calibri"/>
              </w:rPr>
              <w:t xml:space="preserve"> </w:t>
            </w:r>
          </w:p>
        </w:tc>
      </w:tr>
      <w:bookmarkEnd w:id="0"/>
    </w:tbl>
    <w:p w14:paraId="1AE4D9D5" w14:textId="77777777" w:rsidR="00BE0B3F" w:rsidRPr="00AA6204" w:rsidRDefault="00BE0B3F" w:rsidP="00BE0B3F"/>
    <w:p w14:paraId="588580F7" w14:textId="77777777" w:rsidR="00BE0B3F" w:rsidRPr="00AA6204" w:rsidRDefault="00BE0B3F" w:rsidP="00BE0B3F"/>
    <w:p w14:paraId="324164CC" w14:textId="77777777" w:rsidR="005436A7" w:rsidRPr="00AA6204" w:rsidRDefault="005436A7"/>
    <w:sectPr w:rsidR="005436A7" w:rsidRPr="00AA6204">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E706" w14:textId="77777777" w:rsidR="004E1BEA" w:rsidRDefault="004E1BEA">
      <w:r>
        <w:separator/>
      </w:r>
    </w:p>
  </w:endnote>
  <w:endnote w:type="continuationSeparator" w:id="0">
    <w:p w14:paraId="595E703A" w14:textId="77777777" w:rsidR="004E1BEA" w:rsidRDefault="004E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48E3" w14:textId="77777777" w:rsidR="003C284F" w:rsidRDefault="004E1BEA">
    <w:pPr>
      <w:pStyle w:val="Footer"/>
    </w:pPr>
  </w:p>
  <w:p w14:paraId="71EC2672" w14:textId="77777777" w:rsidR="003C284F" w:rsidRDefault="004E1BEA">
    <w:pPr>
      <w:pStyle w:val="Footer"/>
    </w:pPr>
  </w:p>
  <w:p w14:paraId="0B8BD888" w14:textId="77777777" w:rsidR="003C284F" w:rsidRDefault="004E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210B" w14:textId="77777777" w:rsidR="004E1BEA" w:rsidRDefault="004E1BEA">
      <w:r>
        <w:separator/>
      </w:r>
    </w:p>
  </w:footnote>
  <w:footnote w:type="continuationSeparator" w:id="0">
    <w:p w14:paraId="4AC76579" w14:textId="77777777" w:rsidR="004E1BEA" w:rsidRDefault="004E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6A5C" w14:textId="77777777" w:rsidR="003C284F" w:rsidRDefault="001F1142">
    <w:pPr>
      <w:jc w:val="center"/>
      <w:rPr>
        <w:b/>
        <w:color w:val="000000"/>
        <w:spacing w:val="-5"/>
        <w:lang w:val="en-ZA"/>
      </w:rPr>
    </w:pPr>
    <w:r>
      <w:rPr>
        <w:noProof/>
        <w14:ligatures w14:val="standardContextual"/>
      </w:rPr>
      <w:drawing>
        <wp:anchor distT="0" distB="0" distL="114300" distR="114300" simplePos="0" relativeHeight="251660288" behindDoc="0" locked="0" layoutInCell="1" allowOverlap="1" wp14:anchorId="55E591FB" wp14:editId="631E2991">
          <wp:simplePos x="0" y="0"/>
          <wp:positionH relativeFrom="column">
            <wp:posOffset>5575300</wp:posOffset>
          </wp:positionH>
          <wp:positionV relativeFrom="paragraph">
            <wp:posOffset>7620</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595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anchor>
      </w:drawing>
    </w:r>
    <w:r>
      <w:rPr>
        <w:noProof/>
        <w14:ligatures w14:val="standardContextual"/>
      </w:rPr>
      <w:drawing>
        <wp:anchor distT="0" distB="0" distL="114300" distR="114300" simplePos="0" relativeHeight="251659264" behindDoc="0" locked="0" layoutInCell="1" allowOverlap="1" wp14:anchorId="172D8249" wp14:editId="47EBDF7E">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69657"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anchor>
      </w:drawing>
    </w:r>
    <w:r>
      <w:rPr>
        <w:b/>
        <w:color w:val="000000"/>
        <w:spacing w:val="-5"/>
        <w:lang w:val="en-ZA"/>
      </w:rPr>
      <w:t>REPUBLIC OF LIBERIA</w:t>
    </w:r>
  </w:p>
  <w:p w14:paraId="0FB83B25" w14:textId="77777777" w:rsidR="003C284F" w:rsidRDefault="001F1142">
    <w:pPr>
      <w:tabs>
        <w:tab w:val="left" w:pos="1040"/>
        <w:tab w:val="center" w:pos="4513"/>
      </w:tabs>
      <w:rPr>
        <w:rFonts w:ascii="Arial Black" w:hAnsi="Arial Black"/>
        <w:b/>
        <w:bCs/>
        <w:color w:val="000000"/>
        <w:spacing w:val="-5"/>
        <w:lang w:val="en-ZA"/>
      </w:rPr>
    </w:pPr>
    <w:r>
      <w:rPr>
        <w:b/>
        <w:bCs/>
        <w:color w:val="000000"/>
        <w:spacing w:val="-5"/>
        <w:lang w:val="en-ZA"/>
      </w:rPr>
      <w:tab/>
    </w:r>
    <w:r>
      <w:rPr>
        <w:b/>
        <w:bCs/>
        <w:color w:val="000000"/>
        <w:spacing w:val="-5"/>
        <w:lang w:val="en-ZA"/>
      </w:rPr>
      <w:tab/>
      <w:t>ENVIRONMENTAL PROTECTION AGENCY (EPA)</w:t>
    </w:r>
  </w:p>
  <w:p w14:paraId="29C1A740" w14:textId="77777777" w:rsidR="003C284F" w:rsidRDefault="001F1142">
    <w:pPr>
      <w:jc w:val="center"/>
      <w:rPr>
        <w:b/>
        <w:bCs/>
        <w:color w:val="000000"/>
        <w:spacing w:val="-5"/>
        <w:lang w:val="en-ZA"/>
      </w:rPr>
    </w:pPr>
    <w:r>
      <w:rPr>
        <w:b/>
        <w:bCs/>
        <w:color w:val="000000"/>
        <w:spacing w:val="-5"/>
        <w:lang w:val="en-ZA"/>
      </w:rPr>
      <w:t>1000 Monrovia, 10 Liberia</w:t>
    </w:r>
  </w:p>
  <w:p w14:paraId="053A0D8F" w14:textId="77777777" w:rsidR="003C284F" w:rsidRDefault="001F1142">
    <w:pPr>
      <w:pBdr>
        <w:bottom w:val="single" w:sz="12" w:space="1" w:color="auto"/>
      </w:pBdr>
      <w:jc w:val="center"/>
      <w:rPr>
        <w:b/>
        <w:bCs/>
        <w:color w:val="000000"/>
        <w:spacing w:val="-5"/>
        <w:lang w:val="en-ZA"/>
      </w:rPr>
    </w:pPr>
    <w:r>
      <w:rPr>
        <w:b/>
        <w:bCs/>
        <w:color w:val="000000"/>
        <w:spacing w:val="-5"/>
        <w:lang w:val="en-ZA"/>
      </w:rPr>
      <w:t>P.O. Box 4024</w:t>
    </w:r>
  </w:p>
  <w:p w14:paraId="1F26C91E" w14:textId="77777777" w:rsidR="003C284F" w:rsidRDefault="004E1BEA">
    <w:pPr>
      <w:pStyle w:val="ListParagraph"/>
      <w:ind w:left="1080"/>
      <w:rPr>
        <w:b/>
        <w:bCs/>
      </w:rPr>
    </w:pPr>
  </w:p>
  <w:p w14:paraId="2DFE5725" w14:textId="77777777" w:rsidR="003C284F" w:rsidRDefault="004E1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645"/>
    <w:multiLevelType w:val="hybridMultilevel"/>
    <w:tmpl w:val="54886092"/>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DB1B1C"/>
    <w:multiLevelType w:val="multilevel"/>
    <w:tmpl w:val="47C805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E80F45"/>
    <w:multiLevelType w:val="hybridMultilevel"/>
    <w:tmpl w:val="1540A4F0"/>
    <w:lvl w:ilvl="0" w:tplc="1000001B">
      <w:start w:val="1"/>
      <w:numFmt w:val="lowerRoman"/>
      <w:lvlText w:val="%1."/>
      <w:lvlJc w:val="righ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 w15:restartNumberingAfterBreak="0">
    <w:nsid w:val="275E07E9"/>
    <w:multiLevelType w:val="multilevel"/>
    <w:tmpl w:val="717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F3DD2"/>
    <w:multiLevelType w:val="hybridMultilevel"/>
    <w:tmpl w:val="B206FF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CCA76DD"/>
    <w:multiLevelType w:val="multilevel"/>
    <w:tmpl w:val="2CCA76DD"/>
    <w:lvl w:ilvl="0">
      <w:start w:val="1"/>
      <w:numFmt w:val="upperRoman"/>
      <w:lvlText w:val="%1."/>
      <w:lvlJc w:val="left"/>
      <w:pPr>
        <w:ind w:left="2279"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F1411"/>
    <w:multiLevelType w:val="multilevel"/>
    <w:tmpl w:val="1872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80528"/>
    <w:multiLevelType w:val="multilevel"/>
    <w:tmpl w:val="47C805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82326C1"/>
    <w:multiLevelType w:val="multilevel"/>
    <w:tmpl w:val="E168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56591"/>
    <w:multiLevelType w:val="multilevel"/>
    <w:tmpl w:val="5B756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4A538D"/>
    <w:multiLevelType w:val="hybridMultilevel"/>
    <w:tmpl w:val="0B0629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E645FA5"/>
    <w:multiLevelType w:val="multilevel"/>
    <w:tmpl w:val="5E645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E3890"/>
    <w:multiLevelType w:val="multilevel"/>
    <w:tmpl w:val="739E38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872693"/>
    <w:multiLevelType w:val="hybridMultilevel"/>
    <w:tmpl w:val="0C521D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5465D96"/>
    <w:multiLevelType w:val="multilevel"/>
    <w:tmpl w:val="75465D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C62081D"/>
    <w:multiLevelType w:val="hybridMultilevel"/>
    <w:tmpl w:val="C5F615D4"/>
    <w:lvl w:ilvl="0" w:tplc="10000005">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12"/>
  </w:num>
  <w:num w:numId="6">
    <w:abstractNumId w:val="14"/>
  </w:num>
  <w:num w:numId="7">
    <w:abstractNumId w:val="0"/>
  </w:num>
  <w:num w:numId="8">
    <w:abstractNumId w:val="13"/>
  </w:num>
  <w:num w:numId="9">
    <w:abstractNumId w:val="4"/>
  </w:num>
  <w:num w:numId="10">
    <w:abstractNumId w:val="6"/>
  </w:num>
  <w:num w:numId="11">
    <w:abstractNumId w:val="8"/>
  </w:num>
  <w:num w:numId="12">
    <w:abstractNumId w:val="3"/>
  </w:num>
  <w:num w:numId="13">
    <w:abstractNumId w:val="10"/>
  </w:num>
  <w:num w:numId="14">
    <w:abstractNumId w:val="1"/>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yAyELS3NDU3MzJR2l4NTi4sz8PJACo1oA+8LKKiwAAAA="/>
  </w:docVars>
  <w:rsids>
    <w:rsidRoot w:val="00BE0B3F"/>
    <w:rsid w:val="00072962"/>
    <w:rsid w:val="000772C3"/>
    <w:rsid w:val="000F4A07"/>
    <w:rsid w:val="00156944"/>
    <w:rsid w:val="00176880"/>
    <w:rsid w:val="001E5C28"/>
    <w:rsid w:val="001F1142"/>
    <w:rsid w:val="00212BBF"/>
    <w:rsid w:val="00247A07"/>
    <w:rsid w:val="00290B54"/>
    <w:rsid w:val="00296D63"/>
    <w:rsid w:val="002A243C"/>
    <w:rsid w:val="00355DDF"/>
    <w:rsid w:val="0037208E"/>
    <w:rsid w:val="003D0410"/>
    <w:rsid w:val="003F42C5"/>
    <w:rsid w:val="00403B87"/>
    <w:rsid w:val="00474717"/>
    <w:rsid w:val="0048687F"/>
    <w:rsid w:val="00486F88"/>
    <w:rsid w:val="004B4ACC"/>
    <w:rsid w:val="004E1BEA"/>
    <w:rsid w:val="005436A7"/>
    <w:rsid w:val="005D6AC4"/>
    <w:rsid w:val="005E7363"/>
    <w:rsid w:val="00637D3D"/>
    <w:rsid w:val="0064405F"/>
    <w:rsid w:val="00675B98"/>
    <w:rsid w:val="006818F8"/>
    <w:rsid w:val="007105F3"/>
    <w:rsid w:val="00725986"/>
    <w:rsid w:val="00783488"/>
    <w:rsid w:val="007D0A42"/>
    <w:rsid w:val="008877B3"/>
    <w:rsid w:val="008D2751"/>
    <w:rsid w:val="00914CD7"/>
    <w:rsid w:val="00A4192A"/>
    <w:rsid w:val="00A42051"/>
    <w:rsid w:val="00A6248E"/>
    <w:rsid w:val="00A930BA"/>
    <w:rsid w:val="00AA6204"/>
    <w:rsid w:val="00B2239F"/>
    <w:rsid w:val="00B32373"/>
    <w:rsid w:val="00B5089C"/>
    <w:rsid w:val="00BD068F"/>
    <w:rsid w:val="00BE0B3F"/>
    <w:rsid w:val="00C55604"/>
    <w:rsid w:val="00C6350C"/>
    <w:rsid w:val="00C957E3"/>
    <w:rsid w:val="00CC5B16"/>
    <w:rsid w:val="00D90257"/>
    <w:rsid w:val="00DC351F"/>
    <w:rsid w:val="00E13102"/>
    <w:rsid w:val="00E16267"/>
    <w:rsid w:val="00E67C04"/>
    <w:rsid w:val="00EF479F"/>
    <w:rsid w:val="00F44AB8"/>
    <w:rsid w:val="00F76AC0"/>
    <w:rsid w:val="00F836DB"/>
    <w:rsid w:val="00FA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C432"/>
  <w15:chartTrackingRefBased/>
  <w15:docId w15:val="{32BE19AD-DC33-48B9-9FC6-7F000B7A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E0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0B3F"/>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3F"/>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qFormat/>
    <w:rsid w:val="00BE0B3F"/>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qFormat/>
    <w:rsid w:val="00BE0B3F"/>
    <w:rPr>
      <w:rFonts w:ascii="Times New Roman" w:eastAsiaTheme="majorEastAsia" w:hAnsi="Times New Roman" w:cstheme="majorBidi"/>
      <w:color w:val="2F5496" w:themeColor="accent1" w:themeShade="BF"/>
      <w:sz w:val="28"/>
      <w:szCs w:val="28"/>
      <w:lang w:val="en-US"/>
    </w:rPr>
  </w:style>
  <w:style w:type="paragraph" w:styleId="Footer">
    <w:name w:val="footer"/>
    <w:basedOn w:val="Normal"/>
    <w:link w:val="FooterChar"/>
    <w:uiPriority w:val="99"/>
    <w:unhideWhenUsed/>
    <w:qFormat/>
    <w:rsid w:val="00BE0B3F"/>
    <w:pPr>
      <w:tabs>
        <w:tab w:val="center" w:pos="4680"/>
        <w:tab w:val="right" w:pos="9360"/>
      </w:tabs>
    </w:pPr>
  </w:style>
  <w:style w:type="character" w:customStyle="1" w:styleId="FooterChar">
    <w:name w:val="Footer Char"/>
    <w:basedOn w:val="DefaultParagraphFont"/>
    <w:link w:val="Footer"/>
    <w:uiPriority w:val="99"/>
    <w:qFormat/>
    <w:rsid w:val="00BE0B3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qFormat/>
    <w:rsid w:val="00BE0B3F"/>
    <w:pPr>
      <w:tabs>
        <w:tab w:val="center" w:pos="4680"/>
        <w:tab w:val="right" w:pos="9360"/>
      </w:tabs>
    </w:pPr>
  </w:style>
  <w:style w:type="character" w:customStyle="1" w:styleId="HeaderChar">
    <w:name w:val="Header Char"/>
    <w:basedOn w:val="DefaultParagraphFont"/>
    <w:link w:val="Header"/>
    <w:uiPriority w:val="99"/>
    <w:qFormat/>
    <w:rsid w:val="00BE0B3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qFormat/>
    <w:rsid w:val="00BE0B3F"/>
    <w:rPr>
      <w:color w:val="0563C1" w:themeColor="hyperlink"/>
      <w:u w:val="single"/>
    </w:rPr>
  </w:style>
  <w:style w:type="paragraph" w:styleId="NormalWeb">
    <w:name w:val="Normal (Web)"/>
    <w:basedOn w:val="Normal"/>
    <w:uiPriority w:val="99"/>
    <w:unhideWhenUsed/>
    <w:qFormat/>
    <w:rsid w:val="00BE0B3F"/>
    <w:pPr>
      <w:spacing w:before="100" w:beforeAutospacing="1" w:after="100" w:afterAutospacing="1"/>
    </w:pPr>
  </w:style>
  <w:style w:type="character" w:styleId="Strong">
    <w:name w:val="Strong"/>
    <w:basedOn w:val="DefaultParagraphFont"/>
    <w:uiPriority w:val="22"/>
    <w:qFormat/>
    <w:rsid w:val="00BE0B3F"/>
    <w:rPr>
      <w:b/>
      <w:bCs/>
    </w:rPr>
  </w:style>
  <w:style w:type="table" w:styleId="TableGrid">
    <w:name w:val="Table Grid"/>
    <w:basedOn w:val="TableNormal"/>
    <w:uiPriority w:val="39"/>
    <w:qFormat/>
    <w:rsid w:val="00BE0B3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BE0B3F"/>
    <w:pPr>
      <w:ind w:left="720"/>
      <w:contextualSpacing/>
    </w:p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BE0B3F"/>
    <w:rPr>
      <w:rFonts w:ascii="Times New Roman" w:eastAsia="Times New Roman" w:hAnsi="Times New Roman" w:cs="Times New Roman"/>
      <w:sz w:val="24"/>
      <w:szCs w:val="24"/>
      <w:lang w:val="en-US"/>
    </w:rPr>
  </w:style>
  <w:style w:type="paragraph" w:styleId="NoSpacing">
    <w:name w:val="No Spacing"/>
    <w:uiPriority w:val="1"/>
    <w:qFormat/>
    <w:rsid w:val="00BE0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yperlink" Target="http://www.mme.gov.l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Ernest</cp:lastModifiedBy>
  <cp:revision>4</cp:revision>
  <dcterms:created xsi:type="dcterms:W3CDTF">2026-05-28T15:10:00Z</dcterms:created>
  <dcterms:modified xsi:type="dcterms:W3CDTF">2026-06-15T16:31:00Z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8fd084d1-b439-4460-89fd-bc466192b8e4</vt:lpwstr>
  </property>
</Properties>
</file>