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1CB1" w14:textId="77777777" w:rsidR="00103BD4" w:rsidRDefault="00103BD4" w:rsidP="00103BD4">
      <w:pPr>
        <w:pStyle w:val="Header"/>
        <w:rPr>
          <w:rFonts w:ascii="Times New Roman" w:hAnsi="Times New Roman" w:cs="Times New Roman"/>
          <w:b/>
          <w:sz w:val="26"/>
          <w:szCs w:val="26"/>
        </w:rPr>
      </w:pPr>
      <w:bookmarkStart w:id="0" w:name="_Hlk205458749"/>
      <w:r w:rsidRPr="00382C13">
        <w:rPr>
          <w:rFonts w:ascii="Times New Roman" w:hAnsi="Times New Roman" w:cs="Times New Roman"/>
          <w:noProof/>
          <w:sz w:val="26"/>
          <w:szCs w:val="26"/>
        </w:rPr>
        <w:drawing>
          <wp:anchor distT="0" distB="0" distL="114300" distR="114300" simplePos="0" relativeHeight="251660288" behindDoc="0" locked="0" layoutInCell="1" allowOverlap="1" wp14:anchorId="513AB7E6" wp14:editId="54ADC74C">
            <wp:simplePos x="0" y="0"/>
            <wp:positionH relativeFrom="margin">
              <wp:align>right</wp:align>
            </wp:positionH>
            <wp:positionV relativeFrom="paragraph">
              <wp:posOffset>-203200</wp:posOffset>
            </wp:positionV>
            <wp:extent cx="914400" cy="904875"/>
            <wp:effectExtent l="0" t="0" r="0" b="9525"/>
            <wp:wrapNone/>
            <wp:docPr id="29" name="Picture 29" descr="C:\Users\joycemanuel\Desktop\Screenshot_20201102-21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manuel\Desktop\Screenshot_20201102-21093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2540" r="3680"/>
                    <a:stretch/>
                  </pic:blipFill>
                  <pic:spPr bwMode="auto">
                    <a:xfrm>
                      <a:off x="0" y="0"/>
                      <a:ext cx="9144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noProof/>
          <w:sz w:val="26"/>
          <w:szCs w:val="26"/>
        </w:rPr>
        <w:drawing>
          <wp:anchor distT="0" distB="0" distL="114300" distR="114300" simplePos="0" relativeHeight="251659264" behindDoc="0" locked="0" layoutInCell="1" allowOverlap="1" wp14:anchorId="29C39929" wp14:editId="4FD7789C">
            <wp:simplePos x="0" y="0"/>
            <wp:positionH relativeFrom="margin">
              <wp:posOffset>-390525</wp:posOffset>
            </wp:positionH>
            <wp:positionV relativeFrom="paragraph">
              <wp:posOffset>-247650</wp:posOffset>
            </wp:positionV>
            <wp:extent cx="1153160" cy="990600"/>
            <wp:effectExtent l="0" t="0" r="8890" b="0"/>
            <wp:wrapNone/>
            <wp:docPr id="30" name="Picture 30" descr="C:\Users\joycemanuel\Desktop\Screenshot_20201102-2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manuel\Desktop\Screenshot_20201102-21102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877"/>
                    <a:stretch/>
                  </pic:blipFill>
                  <pic:spPr bwMode="auto">
                    <a:xfrm>
                      <a:off x="0" y="0"/>
                      <a:ext cx="115316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b/>
          <w:sz w:val="26"/>
          <w:szCs w:val="26"/>
        </w:rPr>
        <w:t xml:space="preserve">                          </w:t>
      </w:r>
      <w:r>
        <w:rPr>
          <w:rFonts w:ascii="Times New Roman" w:hAnsi="Times New Roman" w:cs="Times New Roman"/>
          <w:b/>
          <w:sz w:val="26"/>
          <w:szCs w:val="26"/>
        </w:rPr>
        <w:t xml:space="preserve">                </w:t>
      </w:r>
      <w:r>
        <w:rPr>
          <w:b/>
          <w:noProof/>
          <w:sz w:val="26"/>
          <w:szCs w:val="26"/>
        </w:rPr>
        <w:drawing>
          <wp:inline distT="0" distB="0" distL="0" distR="0" wp14:anchorId="183AD3CA" wp14:editId="23DB9B11">
            <wp:extent cx="10541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927100"/>
                    </a:xfrm>
                    <a:prstGeom prst="rect">
                      <a:avLst/>
                    </a:prstGeom>
                    <a:noFill/>
                    <a:ln>
                      <a:noFill/>
                    </a:ln>
                  </pic:spPr>
                </pic:pic>
              </a:graphicData>
            </a:graphic>
          </wp:inline>
        </w:drawing>
      </w:r>
      <w:r>
        <w:rPr>
          <w:rFonts w:ascii="Times New Roman" w:hAnsi="Times New Roman" w:cs="Times New Roman"/>
          <w:b/>
          <w:sz w:val="26"/>
          <w:szCs w:val="26"/>
        </w:rPr>
        <w:t xml:space="preserve">             </w:t>
      </w:r>
      <w:r>
        <w:rPr>
          <w:b/>
          <w:noProof/>
          <w:sz w:val="26"/>
          <w:szCs w:val="26"/>
        </w:rPr>
        <w:drawing>
          <wp:inline distT="0" distB="0" distL="0" distR="0" wp14:anchorId="3AD894DF" wp14:editId="21D4039C">
            <wp:extent cx="105410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869950"/>
                    </a:xfrm>
                    <a:prstGeom prst="rect">
                      <a:avLst/>
                    </a:prstGeom>
                    <a:noFill/>
                    <a:ln>
                      <a:noFill/>
                    </a:ln>
                  </pic:spPr>
                </pic:pic>
              </a:graphicData>
            </a:graphic>
          </wp:inline>
        </w:drawing>
      </w:r>
    </w:p>
    <w:bookmarkEnd w:id="0"/>
    <w:p w14:paraId="647A930A" w14:textId="38238974" w:rsidR="00AE1F37" w:rsidRDefault="00AE1F37" w:rsidP="00AE1F37">
      <w:pPr>
        <w:widowControl w:val="0"/>
        <w:autoSpaceDE w:val="0"/>
        <w:autoSpaceDN w:val="0"/>
        <w:spacing w:before="271" w:after="0" w:line="293" w:lineRule="exact"/>
        <w:ind w:left="2065" w:right="2311"/>
        <w:jc w:val="center"/>
        <w:rPr>
          <w:rFonts w:ascii="Times New Roman" w:eastAsia="Times New Roman" w:hAnsi="Times New Roman" w:cs="Times New Roman"/>
          <w:b/>
          <w:sz w:val="24"/>
          <w:szCs w:val="24"/>
        </w:rPr>
      </w:pPr>
      <w:r w:rsidRPr="00C22F93">
        <w:rPr>
          <w:rFonts w:ascii="Times New Roman" w:eastAsia="Times New Roman" w:hAnsi="Times New Roman" w:cs="Times New Roman"/>
          <w:b/>
          <w:sz w:val="24"/>
          <w:szCs w:val="24"/>
        </w:rPr>
        <w:t>Call</w:t>
      </w:r>
      <w:r w:rsidRPr="00C22F93">
        <w:rPr>
          <w:rFonts w:ascii="Times New Roman" w:eastAsia="Times New Roman" w:hAnsi="Times New Roman" w:cs="Times New Roman"/>
          <w:b/>
          <w:spacing w:val="-4"/>
          <w:sz w:val="24"/>
          <w:szCs w:val="24"/>
        </w:rPr>
        <w:t xml:space="preserve"> </w:t>
      </w:r>
      <w:r w:rsidRPr="00C22F93">
        <w:rPr>
          <w:rFonts w:ascii="Times New Roman" w:eastAsia="Times New Roman" w:hAnsi="Times New Roman" w:cs="Times New Roman"/>
          <w:b/>
          <w:sz w:val="24"/>
          <w:szCs w:val="24"/>
        </w:rPr>
        <w:t>for</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Expression</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of</w:t>
      </w:r>
      <w:r w:rsidRPr="00C22F93">
        <w:rPr>
          <w:rFonts w:ascii="Times New Roman" w:eastAsia="Times New Roman" w:hAnsi="Times New Roman" w:cs="Times New Roman"/>
          <w:b/>
          <w:spacing w:val="-1"/>
          <w:sz w:val="24"/>
          <w:szCs w:val="24"/>
        </w:rPr>
        <w:t xml:space="preserve"> </w:t>
      </w:r>
      <w:r w:rsidRPr="00C22F93">
        <w:rPr>
          <w:rFonts w:ascii="Times New Roman" w:eastAsia="Times New Roman" w:hAnsi="Times New Roman" w:cs="Times New Roman"/>
          <w:b/>
          <w:spacing w:val="-2"/>
          <w:sz w:val="24"/>
          <w:szCs w:val="24"/>
        </w:rPr>
        <w:t>Interest</w:t>
      </w:r>
      <w:r>
        <w:rPr>
          <w:rFonts w:ascii="Times New Roman" w:eastAsia="Times New Roman" w:hAnsi="Times New Roman" w:cs="Times New Roman"/>
          <w:b/>
          <w:sz w:val="24"/>
          <w:szCs w:val="24"/>
        </w:rPr>
        <w:t xml:space="preserve"> t</w:t>
      </w:r>
      <w:r w:rsidRPr="00C22F93">
        <w:rPr>
          <w:rFonts w:ascii="Times New Roman" w:eastAsia="Times New Roman" w:hAnsi="Times New Roman" w:cs="Times New Roman"/>
          <w:b/>
          <w:sz w:val="24"/>
          <w:szCs w:val="24"/>
        </w:rPr>
        <w:t>o</w:t>
      </w:r>
      <w:r w:rsidRPr="00C22F93">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b/>
          <w:sz w:val="24"/>
          <w:szCs w:val="24"/>
        </w:rPr>
        <w:t>pr</w:t>
      </w:r>
      <w:r w:rsidRPr="00C22F93">
        <w:rPr>
          <w:rFonts w:ascii="Times New Roman" w:eastAsia="Times New Roman" w:hAnsi="Times New Roman" w:cs="Times New Roman"/>
          <w:b/>
          <w:sz w:val="24"/>
          <w:szCs w:val="24"/>
        </w:rPr>
        <w:t>ovide</w:t>
      </w:r>
      <w:r w:rsidRPr="00C22F93">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pacing w:val="-4"/>
          <w:sz w:val="24"/>
          <w:szCs w:val="24"/>
        </w:rPr>
        <w:t xml:space="preserve">Short-Term </w:t>
      </w:r>
      <w:r>
        <w:rPr>
          <w:rFonts w:ascii="Times New Roman" w:eastAsia="Times New Roman" w:hAnsi="Times New Roman" w:cs="Times New Roman"/>
          <w:b/>
          <w:sz w:val="24"/>
          <w:szCs w:val="24"/>
        </w:rPr>
        <w:t>Consultancy/Technical Support</w:t>
      </w:r>
    </w:p>
    <w:p w14:paraId="465CF584" w14:textId="2C4E2D02" w:rsidR="00AE1F37" w:rsidRDefault="00AE1F37" w:rsidP="00AE1F37">
      <w:pPr>
        <w:widowControl w:val="0"/>
        <w:autoSpaceDE w:val="0"/>
        <w:autoSpaceDN w:val="0"/>
        <w:spacing w:before="271" w:after="0" w:line="293" w:lineRule="exact"/>
        <w:ind w:right="231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00"/>
      </w:tblGrid>
      <w:tr w:rsidR="00103BD4" w:rsidRPr="00D4534E" w14:paraId="2C789029" w14:textId="77777777" w:rsidTr="00D415BE">
        <w:trPr>
          <w:trHeight w:val="5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4E289B" w14:textId="77777777" w:rsidR="00103BD4" w:rsidRPr="00D4534E" w:rsidRDefault="00103BD4" w:rsidP="00D415BE">
            <w:pPr>
              <w:spacing w:before="20"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title:</w:t>
            </w:r>
            <w:r w:rsidRPr="00D4534E">
              <w:rPr>
                <w:rFonts w:ascii="Times New Roman" w:eastAsia="Times New Roman" w:hAnsi="Times New Roman" w:cs="Times New Roman"/>
                <w:sz w:val="24"/>
                <w:szCs w:val="24"/>
              </w:rPr>
              <w:t xml:space="preserve"> “</w:t>
            </w:r>
            <w:r w:rsidRPr="00EE28D2">
              <w:rPr>
                <w:rFonts w:ascii="Times New Roman" w:eastAsia="Times New Roman" w:hAnsi="Times New Roman" w:cs="Times New Roman"/>
                <w:b/>
                <w:bCs/>
                <w:color w:val="404040" w:themeColor="text1" w:themeTint="BF"/>
                <w:sz w:val="24"/>
                <w:szCs w:val="24"/>
              </w:rPr>
              <w:t>Mainstreaming Biodiversity in Productive Sectors: Responsible Sand Value Chain for Coastal Resilience in West Africa</w:t>
            </w:r>
            <w:r w:rsidRPr="00EE28D2">
              <w:rPr>
                <w:rFonts w:ascii="Times New Roman" w:eastAsia="Times New Roman" w:hAnsi="Times New Roman" w:cs="Times New Roman"/>
                <w:b/>
                <w:bCs/>
                <w:sz w:val="24"/>
                <w:szCs w:val="24"/>
              </w:rPr>
              <w:t>”</w:t>
            </w:r>
            <w:r w:rsidRPr="00D4534E">
              <w:rPr>
                <w:rFonts w:ascii="Times New Roman" w:eastAsia="Times New Roman" w:hAnsi="Times New Roman" w:cs="Times New Roman"/>
                <w:sz w:val="24"/>
                <w:szCs w:val="24"/>
              </w:rPr>
              <w:t xml:space="preserve"> </w:t>
            </w:r>
          </w:p>
        </w:tc>
      </w:tr>
      <w:tr w:rsidR="00103BD4" w:rsidRPr="00D4534E" w14:paraId="1E270635" w14:textId="77777777" w:rsidTr="00D415BE">
        <w:trPr>
          <w:trHeight w:val="30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3F442C" w14:textId="77777777" w:rsidR="00103BD4" w:rsidRPr="00D4534E" w:rsidRDefault="00103BD4" w:rsidP="00D415BE">
            <w:pPr>
              <w:spacing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 xml:space="preserve">Project number: </w:t>
            </w:r>
            <w:r w:rsidRPr="00D4534E">
              <w:rPr>
                <w:rFonts w:ascii="Times New Roman" w:eastAsia="Times New Roman" w:hAnsi="Times New Roman" w:cs="Times New Roman"/>
                <w:sz w:val="24"/>
                <w:szCs w:val="24"/>
              </w:rPr>
              <w:t>GEFID</w:t>
            </w:r>
            <w:r w:rsidRPr="00D4534E">
              <w:rPr>
                <w:rFonts w:ascii="Times New Roman" w:eastAsia="Times New Roman" w:hAnsi="Times New Roman" w:cs="Times New Roman"/>
                <w:b/>
                <w:bCs/>
                <w:sz w:val="24"/>
                <w:szCs w:val="24"/>
              </w:rPr>
              <w:t>:  12029</w:t>
            </w:r>
          </w:p>
        </w:tc>
      </w:tr>
      <w:tr w:rsidR="00103BD4" w:rsidRPr="00D4534E" w14:paraId="78D878AE" w14:textId="77777777" w:rsidTr="00D415BE">
        <w:trPr>
          <w:trHeight w:val="54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25D7E6" w14:textId="77777777" w:rsidR="00103BD4" w:rsidRPr="00D4534E" w:rsidRDefault="00103BD4"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executing partner:</w:t>
            </w:r>
            <w:r w:rsidRPr="00D4534E">
              <w:rPr>
                <w:rFonts w:ascii="Times New Roman" w:eastAsia="Times New Roman" w:hAnsi="Times New Roman" w:cs="Times New Roman"/>
                <w:sz w:val="24"/>
                <w:szCs w:val="24"/>
              </w:rPr>
              <w:t xml:space="preserve"> Environmental Protection Agency of Liberia; National Environmental Agency of Gambia; UNEP –Industry and Economy Division</w:t>
            </w:r>
          </w:p>
        </w:tc>
      </w:tr>
      <w:tr w:rsidR="00103BD4" w:rsidRPr="00D4534E" w14:paraId="7D3F0F64"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9A9B28" w14:textId="77777777" w:rsidR="00103BD4" w:rsidRPr="00D4534E" w:rsidRDefault="00103BD4"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PPG implementation period:</w:t>
            </w:r>
            <w:r w:rsidRPr="00D4534E">
              <w:rPr>
                <w:rFonts w:ascii="Times New Roman" w:eastAsia="Times New Roman" w:hAnsi="Times New Roman" w:cs="Times New Roman"/>
                <w:sz w:val="24"/>
                <w:szCs w:val="24"/>
              </w:rPr>
              <w:t xml:space="preserve"> December 2025 – August 2026</w:t>
            </w:r>
          </w:p>
        </w:tc>
      </w:tr>
      <w:tr w:rsidR="00F3603D" w:rsidRPr="00D4534E" w14:paraId="43520B1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9063D0" w14:textId="3C5F2BC6" w:rsidR="00F3603D" w:rsidRPr="00D4534E" w:rsidRDefault="00F3603D" w:rsidP="00371D33">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Type &amp; Title: </w:t>
            </w:r>
            <w:r w:rsidRPr="00112BC1">
              <w:rPr>
                <w:rFonts w:ascii="Times New Roman" w:eastAsia="Times New Roman" w:hAnsi="Times New Roman" w:cs="Times New Roman"/>
                <w:sz w:val="24"/>
                <w:szCs w:val="24"/>
              </w:rPr>
              <w:t xml:space="preserve">National Consultant – </w:t>
            </w:r>
            <w:r w:rsidR="00371D33" w:rsidRPr="00371D33">
              <w:rPr>
                <w:rFonts w:ascii="Times New Roman" w:eastAsia="Times New Roman" w:hAnsi="Times New Roman" w:cs="Times New Roman"/>
                <w:b/>
                <w:bCs/>
                <w:sz w:val="24"/>
                <w:szCs w:val="24"/>
                <w:lang w:val="en-GB"/>
              </w:rPr>
              <w:t xml:space="preserve">Economics and Markets Expert </w:t>
            </w:r>
          </w:p>
        </w:tc>
      </w:tr>
      <w:tr w:rsidR="00AE5BAD" w:rsidRPr="00D4534E" w14:paraId="174A095B"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4DD750" w14:textId="77F9A33E"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Duration: </w:t>
            </w:r>
            <w:r w:rsidR="00146D85">
              <w:rPr>
                <w:rFonts w:ascii="Times New Roman" w:eastAsia="Times New Roman" w:hAnsi="Times New Roman" w:cs="Times New Roman"/>
                <w:b/>
                <w:bCs/>
                <w:sz w:val="24"/>
                <w:szCs w:val="24"/>
              </w:rPr>
              <w:t>10</w:t>
            </w:r>
            <w:r w:rsidRPr="00112BC1">
              <w:rPr>
                <w:rFonts w:ascii="Times New Roman" w:eastAsia="Times New Roman" w:hAnsi="Times New Roman" w:cs="Times New Roman"/>
                <w:sz w:val="24"/>
                <w:szCs w:val="24"/>
              </w:rPr>
              <w:t xml:space="preserve"> Weeks</w:t>
            </w:r>
            <w:r>
              <w:rPr>
                <w:rFonts w:ascii="Times New Roman" w:eastAsia="Times New Roman" w:hAnsi="Times New Roman" w:cs="Times New Roman"/>
                <w:sz w:val="24"/>
                <w:szCs w:val="24"/>
              </w:rPr>
              <w:t xml:space="preserve"> </w:t>
            </w:r>
          </w:p>
        </w:tc>
      </w:tr>
      <w:tr w:rsidR="00AE5BAD" w:rsidRPr="00D4534E" w14:paraId="49D461A3"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6DD6C1" w14:textId="17E86282" w:rsidR="00AE5BAD"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Duty Station: </w:t>
            </w:r>
            <w:r w:rsidRPr="006331E9">
              <w:rPr>
                <w:rFonts w:ascii="Times New Roman" w:eastAsia="Times New Roman" w:hAnsi="Times New Roman" w:cs="Times New Roman"/>
                <w:sz w:val="24"/>
                <w:szCs w:val="24"/>
              </w:rPr>
              <w:t>Liberia</w:t>
            </w:r>
          </w:p>
        </w:tc>
      </w:tr>
      <w:tr w:rsidR="00AE5BAD" w:rsidRPr="00D4534E" w14:paraId="4D4E7C94"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EB7E07" w14:textId="2FFA18E2"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Report to: </w:t>
            </w:r>
            <w:r w:rsidRPr="00112BC1">
              <w:rPr>
                <w:rFonts w:ascii="Times New Roman" w:eastAsia="Times New Roman" w:hAnsi="Times New Roman" w:cs="Times New Roman"/>
                <w:sz w:val="24"/>
                <w:szCs w:val="24"/>
              </w:rPr>
              <w:t>The Executive Director of EPA</w:t>
            </w:r>
          </w:p>
        </w:tc>
      </w:tr>
      <w:tr w:rsidR="00AE5BAD" w:rsidRPr="00D4534E" w14:paraId="43F9482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9C0230" w14:textId="56A8E95C" w:rsidR="00E97AC6" w:rsidRDefault="00AE5BAD" w:rsidP="00AE5BAD">
            <w:pPr>
              <w:spacing w:before="20" w:line="256" w:lineRule="auto"/>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Application to: </w:t>
            </w:r>
            <w:r w:rsidRPr="006331E9">
              <w:rPr>
                <w:rFonts w:ascii="Times New Roman" w:eastAsia="Times New Roman" w:hAnsi="Times New Roman" w:cs="Times New Roman"/>
                <w:sz w:val="24"/>
                <w:szCs w:val="24"/>
              </w:rPr>
              <w:t>Submit Cover Letter, CV, Technical and Financial Proposal to</w:t>
            </w:r>
            <w:r>
              <w:rPr>
                <w:rFonts w:ascii="Times New Roman" w:eastAsia="Times New Roman" w:hAnsi="Times New Roman" w:cs="Times New Roman"/>
                <w:b/>
                <w:bCs/>
                <w:sz w:val="24"/>
                <w:szCs w:val="24"/>
              </w:rPr>
              <w:t xml:space="preserve"> </w:t>
            </w:r>
            <w:proofErr w:type="spellStart"/>
            <w:r w:rsidRPr="00112BC1">
              <w:rPr>
                <w:rFonts w:ascii="Times New Roman" w:eastAsia="Times New Roman" w:hAnsi="Times New Roman" w:cs="Times New Roman"/>
                <w:sz w:val="24"/>
                <w:szCs w:val="24"/>
              </w:rPr>
              <w:t>Pescee</w:t>
            </w:r>
            <w:proofErr w:type="spellEnd"/>
            <w:r w:rsidRPr="00112BC1">
              <w:rPr>
                <w:rFonts w:ascii="Times New Roman" w:eastAsia="Times New Roman" w:hAnsi="Times New Roman" w:cs="Times New Roman"/>
                <w:sz w:val="24"/>
                <w:szCs w:val="24"/>
              </w:rPr>
              <w:t xml:space="preserve"> Doe, Assistant Director for Procurement, EPA, Sekou </w:t>
            </w:r>
            <w:proofErr w:type="spellStart"/>
            <w:r w:rsidRPr="00112BC1">
              <w:rPr>
                <w:rFonts w:ascii="Times New Roman" w:eastAsia="Times New Roman" w:hAnsi="Times New Roman" w:cs="Times New Roman"/>
                <w:sz w:val="24"/>
                <w:szCs w:val="24"/>
              </w:rPr>
              <w:t>Toure</w:t>
            </w:r>
            <w:proofErr w:type="spellEnd"/>
            <w:r w:rsidRPr="00112BC1">
              <w:rPr>
                <w:rFonts w:ascii="Times New Roman" w:eastAsia="Times New Roman" w:hAnsi="Times New Roman" w:cs="Times New Roman"/>
                <w:sz w:val="24"/>
                <w:szCs w:val="24"/>
              </w:rPr>
              <w:t xml:space="preserve"> Avenue, Mamba Point, Monrovia, Liberia</w:t>
            </w:r>
            <w:r w:rsidR="00E97AC6">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or Email to: </w:t>
            </w:r>
            <w:r w:rsidRPr="00DB1BB2">
              <w:rPr>
                <w:rFonts w:ascii="Times New Roman" w:eastAsia="Times New Roman" w:hAnsi="Times New Roman" w:cs="Times New Roman"/>
                <w:b/>
                <w:bCs/>
                <w:sz w:val="24"/>
                <w:szCs w:val="24"/>
              </w:rPr>
              <w:t>ptdoe@epa.gov.lr</w:t>
            </w:r>
            <w:r w:rsidR="00E97AC6">
              <w:rPr>
                <w:rFonts w:ascii="Times New Roman" w:eastAsia="Times New Roman" w:hAnsi="Times New Roman" w:cs="Times New Roman"/>
                <w:b/>
                <w:bCs/>
                <w:sz w:val="24"/>
                <w:szCs w:val="24"/>
              </w:rPr>
              <w:t>.</w:t>
            </w:r>
            <w:r w:rsidRPr="00DB1BB2">
              <w:rPr>
                <w:rFonts w:ascii="Times New Roman" w:eastAsia="Times New Roman" w:hAnsi="Times New Roman" w:cs="Times New Roman"/>
                <w:sz w:val="24"/>
                <w:szCs w:val="24"/>
              </w:rPr>
              <w:t xml:space="preserve"> </w:t>
            </w:r>
            <w:r w:rsidR="00371D33" w:rsidRPr="00371D33">
              <w:rPr>
                <w:rFonts w:ascii="Times New Roman" w:eastAsia="Times New Roman" w:hAnsi="Times New Roman" w:cs="Times New Roman"/>
                <w:b/>
                <w:bCs/>
                <w:sz w:val="24"/>
                <w:szCs w:val="24"/>
              </w:rPr>
              <w:t xml:space="preserve">and copy </w:t>
            </w:r>
            <w:hyperlink r:id="rId9" w:history="1">
              <w:r w:rsidR="00371D33" w:rsidRPr="00371D33">
                <w:rPr>
                  <w:rStyle w:val="Hyperlink"/>
                  <w:rFonts w:ascii="Times New Roman" w:eastAsia="Times New Roman" w:hAnsi="Times New Roman" w:cs="Times New Roman"/>
                  <w:b/>
                  <w:bCs/>
                  <w:sz w:val="24"/>
                  <w:szCs w:val="24"/>
                </w:rPr>
                <w:t>info@epa.gov.lr</w:t>
              </w:r>
            </w:hyperlink>
            <w:r w:rsidR="00371D33">
              <w:rPr>
                <w:rFonts w:ascii="Times New Roman" w:eastAsia="Times New Roman" w:hAnsi="Times New Roman" w:cs="Times New Roman"/>
                <w:sz w:val="24"/>
                <w:szCs w:val="24"/>
              </w:rPr>
              <w:t xml:space="preserve"> </w:t>
            </w:r>
          </w:p>
          <w:p w14:paraId="51805993" w14:textId="4E1AD64C" w:rsidR="00AE5BAD" w:rsidRPr="00E97AC6" w:rsidRDefault="00E97AC6" w:rsidP="00AE5BAD">
            <w:pPr>
              <w:spacing w:before="20" w:line="256" w:lineRule="auto"/>
              <w:ind w:left="100"/>
              <w:rPr>
                <w:rFonts w:ascii="Times New Roman" w:eastAsia="Times New Roman" w:hAnsi="Times New Roman" w:cs="Times New Roman"/>
                <w:b/>
                <w:bCs/>
                <w:sz w:val="24"/>
                <w:szCs w:val="24"/>
              </w:rPr>
            </w:pPr>
            <w:r w:rsidRPr="00E97AC6">
              <w:rPr>
                <w:rFonts w:ascii="Times New Roman" w:eastAsia="Times New Roman" w:hAnsi="Times New Roman" w:cs="Times New Roman"/>
                <w:b/>
                <w:bCs/>
                <w:sz w:val="24"/>
                <w:szCs w:val="24"/>
              </w:rPr>
              <w:t>Kindly ensure you apply with the title of the consultancy in the subject of the email.</w:t>
            </w:r>
          </w:p>
        </w:tc>
      </w:tr>
      <w:tr w:rsidR="00AE5BAD" w:rsidRPr="00D4534E" w14:paraId="0DC49B47"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8AC56C" w14:textId="69F66C22"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Deadline for Application: </w:t>
            </w:r>
            <w:bookmarkStart w:id="1" w:name="_GoBack"/>
            <w:r w:rsidR="00E97AC6">
              <w:rPr>
                <w:rFonts w:ascii="Times New Roman" w:eastAsia="Times New Roman" w:hAnsi="Times New Roman" w:cs="Times New Roman"/>
                <w:b/>
                <w:bCs/>
                <w:sz w:val="24"/>
                <w:szCs w:val="24"/>
              </w:rPr>
              <w:t>April 2</w:t>
            </w:r>
            <w:r w:rsidRPr="00112BC1">
              <w:rPr>
                <w:rFonts w:ascii="Times New Roman" w:eastAsia="Times New Roman" w:hAnsi="Times New Roman" w:cs="Times New Roman"/>
                <w:sz w:val="24"/>
                <w:szCs w:val="24"/>
              </w:rPr>
              <w:t>, 2026</w:t>
            </w:r>
            <w:bookmarkEnd w:id="1"/>
            <w:r w:rsidR="009C5DC7">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at </w:t>
            </w:r>
            <w:r w:rsidR="009C5DC7">
              <w:rPr>
                <w:rFonts w:ascii="Times New Roman" w:eastAsia="Times New Roman" w:hAnsi="Times New Roman" w:cs="Times New Roman"/>
                <w:sz w:val="24"/>
                <w:szCs w:val="24"/>
              </w:rPr>
              <w:t>5 pm</w:t>
            </w:r>
            <w:r w:rsidRPr="00112BC1">
              <w:rPr>
                <w:rFonts w:ascii="Times New Roman" w:eastAsia="Times New Roman" w:hAnsi="Times New Roman" w:cs="Times New Roman"/>
                <w:sz w:val="24"/>
                <w:szCs w:val="24"/>
              </w:rPr>
              <w:t xml:space="preserve"> Liberian Time</w:t>
            </w:r>
            <w:r w:rsidR="009C5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Female candidates are encouraged to apply. </w:t>
            </w:r>
            <w:r>
              <w:rPr>
                <w:rFonts w:ascii="Times New Roman" w:hAnsi="Times New Roman" w:cs="Times New Roman"/>
                <w:b/>
                <w:sz w:val="24"/>
                <w:szCs w:val="24"/>
              </w:rPr>
              <w:t>Only</w:t>
            </w:r>
            <w:r>
              <w:rPr>
                <w:rFonts w:ascii="Times New Roman" w:hAnsi="Times New Roman" w:cs="Times New Roman"/>
                <w:b/>
                <w:spacing w:val="40"/>
                <w:sz w:val="24"/>
                <w:szCs w:val="24"/>
              </w:rPr>
              <w:t xml:space="preserve"> </w:t>
            </w:r>
            <w:r>
              <w:rPr>
                <w:rFonts w:ascii="Times New Roman" w:hAnsi="Times New Roman" w:cs="Times New Roman"/>
                <w:b/>
                <w:sz w:val="24"/>
                <w:szCs w:val="24"/>
              </w:rPr>
              <w:t>short-listed</w:t>
            </w:r>
            <w:r>
              <w:rPr>
                <w:rFonts w:ascii="Times New Roman" w:hAnsi="Times New Roman" w:cs="Times New Roman"/>
                <w:b/>
                <w:spacing w:val="40"/>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40"/>
                <w:sz w:val="24"/>
                <w:szCs w:val="24"/>
              </w:rPr>
              <w:t xml:space="preserve"> </w:t>
            </w:r>
            <w:r>
              <w:rPr>
                <w:rFonts w:ascii="Times New Roman" w:hAnsi="Times New Roman" w:cs="Times New Roman"/>
                <w:b/>
                <w:sz w:val="24"/>
                <w:szCs w:val="24"/>
              </w:rPr>
              <w:t>whose</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applications correspond to the criteria will be contacted for an interview. </w:t>
            </w:r>
          </w:p>
        </w:tc>
      </w:tr>
    </w:tbl>
    <w:p w14:paraId="773E6291" w14:textId="61646B25" w:rsidR="00103BD4" w:rsidRPr="00D4534E" w:rsidRDefault="00103BD4" w:rsidP="00103BD4">
      <w:pPr>
        <w:spacing w:after="240" w:line="275" w:lineRule="auto"/>
        <w:rPr>
          <w:color w:val="000000" w:themeColor="text1"/>
        </w:rPr>
      </w:pPr>
    </w:p>
    <w:p w14:paraId="53E600F0" w14:textId="50FA3530" w:rsidR="00F7681F" w:rsidRPr="007D4EE1" w:rsidRDefault="00F7681F" w:rsidP="00D415BE">
      <w:pPr>
        <w:rPr>
          <w:rFonts w:ascii="Times New Roman" w:eastAsia="Times New Roman" w:hAnsi="Times New Roman" w:cs="Times New Roman"/>
          <w:b/>
          <w:bCs/>
          <w:sz w:val="24"/>
          <w:szCs w:val="24"/>
        </w:rPr>
      </w:pPr>
      <w:bookmarkStart w:id="2" w:name="_Hlk223364120"/>
      <w:r w:rsidRPr="007D4EE1">
        <w:rPr>
          <w:rFonts w:ascii="Times New Roman" w:eastAsia="Times New Roman" w:hAnsi="Times New Roman" w:cs="Times New Roman"/>
          <w:b/>
          <w:bCs/>
          <w:sz w:val="24"/>
          <w:szCs w:val="24"/>
        </w:rPr>
        <w:t>Project Background</w:t>
      </w:r>
    </w:p>
    <w:p w14:paraId="39BEEAE1" w14:textId="77777777" w:rsidR="00F7681F" w:rsidRPr="007D4EE1" w:rsidRDefault="00F7681F" w:rsidP="00D415BE">
      <w:pPr>
        <w:spacing w:line="276" w:lineRule="auto"/>
        <w:jc w:val="both"/>
        <w:rPr>
          <w:rFonts w:ascii="Times New Roman" w:eastAsia="Times New Roman" w:hAnsi="Times New Roman" w:cs="Times New Roman"/>
          <w:sz w:val="24"/>
          <w:szCs w:val="24"/>
        </w:rPr>
      </w:pPr>
      <w:r w:rsidRPr="007D4EE1">
        <w:rPr>
          <w:rFonts w:ascii="Times New Roman" w:eastAsia="Times New Roman" w:hAnsi="Times New Roman" w:cs="Times New Roman"/>
          <w:sz w:val="24"/>
          <w:szCs w:val="24"/>
        </w:rPr>
        <w:t>The proposed 36-month regional project, led by UNEP under the Global Biodiversity Framework Fund (GBFF), aims to mainstream biodiversity conservation into productive sectors by addressing unsustainable sand extraction in Liberia</w:t>
      </w:r>
      <w:r>
        <w:rPr>
          <w:rFonts w:ascii="Times New Roman" w:eastAsia="Times New Roman" w:hAnsi="Times New Roman" w:cs="Times New Roman"/>
          <w:sz w:val="24"/>
          <w:szCs w:val="24"/>
        </w:rPr>
        <w:t xml:space="preserve"> and </w:t>
      </w:r>
      <w:r w:rsidRPr="007D4EE1">
        <w:rPr>
          <w:rFonts w:ascii="Times New Roman" w:eastAsia="Times New Roman" w:hAnsi="Times New Roman" w:cs="Times New Roman"/>
          <w:sz w:val="24"/>
          <w:szCs w:val="24"/>
        </w:rPr>
        <w:t>The Gambia</w:t>
      </w:r>
      <w:r>
        <w:rPr>
          <w:rFonts w:ascii="Times New Roman" w:eastAsia="Times New Roman" w:hAnsi="Times New Roman" w:cs="Times New Roman"/>
          <w:sz w:val="24"/>
          <w:szCs w:val="24"/>
        </w:rPr>
        <w:t>.</w:t>
      </w:r>
      <w:r w:rsidRPr="007D4EE1">
        <w:rPr>
          <w:rFonts w:ascii="Times New Roman" w:eastAsia="Times New Roman" w:hAnsi="Times New Roman" w:cs="Times New Roman"/>
          <w:sz w:val="24"/>
          <w:szCs w:val="24"/>
        </w:rPr>
        <w:t xml:space="preserve"> Recognizing sand mining as a major driver of coastal erosion, habitat loss, pollution, and biodiversity decline in the West African marine ecoregion, the project adopts a source-to-</w:t>
      </w:r>
      <w:proofErr w:type="spellStart"/>
      <w:r w:rsidRPr="007D4EE1">
        <w:rPr>
          <w:rFonts w:ascii="Times New Roman" w:eastAsia="Times New Roman" w:hAnsi="Times New Roman" w:cs="Times New Roman"/>
          <w:sz w:val="24"/>
          <w:szCs w:val="24"/>
        </w:rPr>
        <w:t>sea</w:t>
      </w:r>
      <w:proofErr w:type="spellEnd"/>
      <w:r w:rsidRPr="007D4EE1">
        <w:rPr>
          <w:rFonts w:ascii="Times New Roman" w:eastAsia="Times New Roman" w:hAnsi="Times New Roman" w:cs="Times New Roman"/>
          <w:sz w:val="24"/>
          <w:szCs w:val="24"/>
        </w:rPr>
        <w:t xml:space="preserve"> approach to strengthen policy and regulatory frameworks, enhance institutional and technical capacity, promote nature-based solutions, and foster market transformation along the sand value chain. Through baseline assessments, regional knowledge-sharing platforms, regulatory reform, private sector engagement, and support for women, youth, and Indigenous Peoples and Local Communities to transition toward biodiversity-friendly livelihoods, the project seeks to reduce ecological degradation while promoting sustainable economic resilience. With a total GEF financing envelope of approximately USD 4.9 million, the initiative aligns with national biodiversity strategies and GBF Action Areas 3 and 6 to </w:t>
      </w:r>
      <w:r w:rsidRPr="007D4EE1">
        <w:rPr>
          <w:rFonts w:ascii="Times New Roman" w:eastAsia="Times New Roman" w:hAnsi="Times New Roman" w:cs="Times New Roman"/>
          <w:sz w:val="24"/>
          <w:szCs w:val="24"/>
        </w:rPr>
        <w:lastRenderedPageBreak/>
        <w:t>integrate biodiversity safeguards into governance, markets, and investment decisions across the region.</w:t>
      </w:r>
    </w:p>
    <w:p w14:paraId="356756A3" w14:textId="4E216604" w:rsidR="001C1E53" w:rsidRPr="00AE1F37" w:rsidRDefault="00F7681F" w:rsidP="00AE1F37">
      <w:pPr>
        <w:spacing w:line="276" w:lineRule="auto"/>
        <w:jc w:val="both"/>
        <w:rPr>
          <w:rFonts w:ascii="Times New Roman" w:eastAsia="Times New Roman" w:hAnsi="Times New Roman" w:cs="Times New Roman"/>
          <w:sz w:val="24"/>
          <w:szCs w:val="24"/>
        </w:rPr>
      </w:pPr>
      <w:r w:rsidRPr="007D4EE1">
        <w:rPr>
          <w:rFonts w:ascii="Times New Roman" w:eastAsia="Times New Roman" w:hAnsi="Times New Roman" w:cs="Times New Roman"/>
          <w:sz w:val="24"/>
          <w:szCs w:val="24"/>
        </w:rPr>
        <w:t>The project (GEFID 12029), to be executed by the Environmental Protection Agency of Liberia, the National Environmental Agency of The Gambia, and UNEP’s Industry and Economy Division, is currently in its Project Preparation Grant (PPG) phase (December 2025–August 2026). The PPG process is supporting detailed baseline assessments, stakeholder consultations, spatial and market analyses, and the preparation of the CEO Endorsement Request package to ensure a technically robust, inclusive, and nationally aligned full proposal for submission to the GBFF.</w:t>
      </w:r>
      <w:bookmarkEnd w:id="2"/>
    </w:p>
    <w:p w14:paraId="265FBF3F" w14:textId="19FDB722" w:rsidR="001C1E53" w:rsidRDefault="001C1E53" w:rsidP="001C1E53">
      <w:pPr>
        <w:jc w:val="both"/>
        <w:rPr>
          <w:b/>
          <w:bCs/>
        </w:rPr>
      </w:pPr>
      <w:r w:rsidRPr="00CB196F">
        <w:rPr>
          <w:rFonts w:ascii="Arial" w:eastAsia="Arial" w:hAnsi="Arial" w:cs="Arial"/>
          <w:b/>
          <w:bCs/>
          <w:lang w:eastAsia="zh-CN"/>
        </w:rPr>
        <w:t>Objective of the Assignment</w:t>
      </w:r>
    </w:p>
    <w:p w14:paraId="1E017B8D" w14:textId="4273C926" w:rsidR="00CB196F" w:rsidRDefault="001C1E53" w:rsidP="00E123B3">
      <w:pPr>
        <w:widowControl w:val="0"/>
        <w:spacing w:after="0" w:line="240" w:lineRule="auto"/>
        <w:jc w:val="both"/>
        <w:rPr>
          <w:rFonts w:ascii="Arial" w:eastAsia="Arial" w:hAnsi="Arial" w:cs="Arial"/>
          <w:lang w:eastAsia="zh-CN"/>
        </w:rPr>
      </w:pPr>
      <w:r w:rsidRPr="00CB196F">
        <w:rPr>
          <w:rFonts w:ascii="Arial" w:eastAsia="Arial" w:hAnsi="Arial" w:cs="Arial"/>
          <w:lang w:eastAsia="zh-CN"/>
        </w:rPr>
        <w:t>The National Consultant – Economics and Markets Expert will be responsible for economic, market, value chain, trade, and livelihood assessments related to sand extraction and alternatives, including biodiversity and socio-economic considerations</w:t>
      </w:r>
    </w:p>
    <w:p w14:paraId="6EF89C68" w14:textId="77777777" w:rsidR="00940AFD" w:rsidRDefault="00940AFD" w:rsidP="00E123B3">
      <w:pPr>
        <w:widowControl w:val="0"/>
        <w:spacing w:after="0" w:line="240" w:lineRule="auto"/>
        <w:jc w:val="both"/>
      </w:pPr>
    </w:p>
    <w:tbl>
      <w:tblPr>
        <w:tblStyle w:val="TableGrid"/>
        <w:tblW w:w="0" w:type="auto"/>
        <w:tblLook w:val="04A0" w:firstRow="1" w:lastRow="0" w:firstColumn="1" w:lastColumn="0" w:noHBand="0" w:noVBand="1"/>
      </w:tblPr>
      <w:tblGrid>
        <w:gridCol w:w="1643"/>
        <w:gridCol w:w="7707"/>
      </w:tblGrid>
      <w:tr w:rsidR="00CB196F" w14:paraId="646AEBF9" w14:textId="77777777" w:rsidTr="00E123B3">
        <w:tc>
          <w:tcPr>
            <w:tcW w:w="1615" w:type="dxa"/>
          </w:tcPr>
          <w:p w14:paraId="331BA076" w14:textId="72CA0E79" w:rsidR="00CB196F" w:rsidRPr="00AE1F37" w:rsidRDefault="00940AFD">
            <w:pPr>
              <w:rPr>
                <w:rFonts w:ascii="Times New Roman" w:hAnsi="Times New Roman" w:cs="Times New Roman"/>
                <w:b/>
                <w:bCs/>
                <w:sz w:val="24"/>
                <w:szCs w:val="24"/>
              </w:rPr>
            </w:pPr>
            <w:r w:rsidRPr="00AE1F37">
              <w:rPr>
                <w:rFonts w:ascii="Times New Roman" w:hAnsi="Times New Roman" w:cs="Times New Roman"/>
                <w:b/>
                <w:bCs/>
                <w:sz w:val="24"/>
                <w:szCs w:val="24"/>
              </w:rPr>
              <w:t>Types</w:t>
            </w:r>
          </w:p>
        </w:tc>
        <w:tc>
          <w:tcPr>
            <w:tcW w:w="7735" w:type="dxa"/>
          </w:tcPr>
          <w:p w14:paraId="45E7B080" w14:textId="160E3F17" w:rsidR="00CB196F" w:rsidRPr="00AE1F37" w:rsidRDefault="00940AFD" w:rsidP="00CB196F">
            <w:pPr>
              <w:rPr>
                <w:rFonts w:ascii="Times New Roman" w:hAnsi="Times New Roman" w:cs="Times New Roman"/>
                <w:b/>
                <w:bCs/>
                <w:sz w:val="24"/>
                <w:szCs w:val="24"/>
              </w:rPr>
            </w:pPr>
            <w:r w:rsidRPr="00AE1F37">
              <w:rPr>
                <w:rFonts w:ascii="Times New Roman" w:hAnsi="Times New Roman" w:cs="Times New Roman"/>
                <w:b/>
                <w:bCs/>
                <w:sz w:val="24"/>
                <w:szCs w:val="24"/>
              </w:rPr>
              <w:t>Task to be performed</w:t>
            </w:r>
          </w:p>
        </w:tc>
      </w:tr>
      <w:tr w:rsidR="00CB196F" w14:paraId="57E6E05B" w14:textId="77777777" w:rsidTr="00E123B3">
        <w:tc>
          <w:tcPr>
            <w:tcW w:w="1615" w:type="dxa"/>
          </w:tcPr>
          <w:p w14:paraId="69AFA3C9"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Scope of Work</w:t>
            </w:r>
          </w:p>
          <w:p w14:paraId="7E5550B7" w14:textId="77777777" w:rsidR="00CB196F" w:rsidRPr="00AE1F37" w:rsidRDefault="00CB196F">
            <w:pPr>
              <w:rPr>
                <w:rFonts w:ascii="Times New Roman" w:hAnsi="Times New Roman" w:cs="Times New Roman"/>
                <w:sz w:val="24"/>
                <w:szCs w:val="24"/>
              </w:rPr>
            </w:pPr>
          </w:p>
        </w:tc>
        <w:tc>
          <w:tcPr>
            <w:tcW w:w="7735" w:type="dxa"/>
          </w:tcPr>
          <w:p w14:paraId="4C2077AA" w14:textId="79FEC6F4" w:rsidR="00CB196F" w:rsidRPr="00AE1F37" w:rsidRDefault="00CB196F" w:rsidP="00CB196F">
            <w:pPr>
              <w:rPr>
                <w:rFonts w:ascii="Times New Roman" w:hAnsi="Times New Roman" w:cs="Times New Roman"/>
                <w:sz w:val="24"/>
                <w:szCs w:val="24"/>
              </w:rPr>
            </w:pPr>
            <w:r w:rsidRPr="00AE1F37">
              <w:rPr>
                <w:rFonts w:ascii="Times New Roman" w:hAnsi="Times New Roman" w:cs="Times New Roman"/>
                <w:b/>
                <w:bCs/>
                <w:sz w:val="24"/>
                <w:szCs w:val="24"/>
              </w:rPr>
              <w:t>Market Assessment and Sand Alternatives</w:t>
            </w:r>
          </w:p>
          <w:p w14:paraId="149BA155" w14:textId="6DC058DD"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 national and regional markets for sand alternatives</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including quarry sand, manufactured sand, recycled aggregates</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and dredged sediment, identifying opportunities to reduce pressure on coastal ecosystems.</w:t>
            </w:r>
          </w:p>
          <w:p w14:paraId="3188F4EC"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Identify possible sand alternatives that can be used in each country.</w:t>
            </w:r>
          </w:p>
          <w:p w14:paraId="6E28E0AB"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 national and regional markets for bio-based and circular alternatives to sand and identify specific opportunities to reduce pressure on coastal ecosystems.</w:t>
            </w:r>
          </w:p>
          <w:p w14:paraId="313FDF48"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Assessment of existing barriers to international trade and commercialization of sand and sand alternatives, such as quality standards, logistics, and market acceptance.</w:t>
            </w:r>
          </w:p>
          <w:p w14:paraId="7A659B01"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Value Chain and Life Cycle Assessment</w:t>
            </w:r>
          </w:p>
          <w:p w14:paraId="26F86B01" w14:textId="77777777"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Conduct a baseline survey of formal and informal sand and construction material value chains, including extractors, transporters, builders and sellers; and create criteria for life cycle assessments to quantify impacts, including biodiversity, across extraction, processing, transport, use and end of life.</w:t>
            </w:r>
          </w:p>
          <w:p w14:paraId="232DBFBC" w14:textId="2F9B5F13"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Analyze infrastructure and logistics in the sand value chain, including transport routes, equipment, storage facilities</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and compliance requirements.</w:t>
            </w:r>
          </w:p>
          <w:p w14:paraId="2D2155E1" w14:textId="77777777"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Identify scientific institutions and private sector actors working on sand alternatives and provide a roadmap for life cycle assessment development and environmental and economic benchmarking.</w:t>
            </w:r>
          </w:p>
          <w:p w14:paraId="72E8769F"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Socio-Economic and Livelihood Analysis</w:t>
            </w:r>
          </w:p>
          <w:p w14:paraId="5B1BA274" w14:textId="492A0EA6"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Evaluate socio-economic conditions and livelihood dependence on sand extraction, with specific attention to youth, women</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and vulnerable groups.</w:t>
            </w:r>
          </w:p>
          <w:p w14:paraId="4E341D2C"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Research and identify possible livelihood alternatives for sand-dependent communities, identifying skills gaps and resource needs.</w:t>
            </w:r>
          </w:p>
          <w:p w14:paraId="40500371"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 xml:space="preserve">Analyze women’s participation in the sand value chain and alternative </w:t>
            </w:r>
            <w:r w:rsidRPr="00AE1F37">
              <w:rPr>
                <w:rFonts w:ascii="Times New Roman" w:hAnsi="Times New Roman" w:cs="Times New Roman"/>
                <w:sz w:val="24"/>
                <w:szCs w:val="24"/>
              </w:rPr>
              <w:lastRenderedPageBreak/>
              <w:t>livelihoods, identifying structural barriers and economic opportunities.</w:t>
            </w:r>
          </w:p>
          <w:p w14:paraId="58A0D373" w14:textId="5B5833BB"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Evaluate skills, resources, entrepreneurial capacity and access to finance for women and youth interested in alternative livelihoods such as ecotourism, restoration jobs, fisheries value-addition</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and construction materials.</w:t>
            </w:r>
          </w:p>
          <w:p w14:paraId="2CDCD4F8"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Stakeholder Mapping and Engagement</w:t>
            </w:r>
          </w:p>
          <w:p w14:paraId="7C4287AB" w14:textId="55AFFDB9" w:rsidR="005E513C" w:rsidRDefault="005E513C" w:rsidP="00CB196F">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consultant will participate in the Project’s Inception workshop. </w:t>
            </w:r>
          </w:p>
          <w:p w14:paraId="2EE3010A" w14:textId="09E73297" w:rsidR="00CB196F" w:rsidRPr="00AE1F37" w:rsidRDefault="00CB196F" w:rsidP="00CB196F">
            <w:pPr>
              <w:numPr>
                <w:ilvl w:val="0"/>
                <w:numId w:val="6"/>
              </w:numPr>
              <w:rPr>
                <w:rFonts w:ascii="Times New Roman" w:hAnsi="Times New Roman" w:cs="Times New Roman"/>
                <w:sz w:val="24"/>
                <w:szCs w:val="24"/>
              </w:rPr>
            </w:pPr>
            <w:r w:rsidRPr="00AE1F37">
              <w:rPr>
                <w:rFonts w:ascii="Times New Roman" w:hAnsi="Times New Roman" w:cs="Times New Roman"/>
                <w:sz w:val="24"/>
                <w:szCs w:val="24"/>
              </w:rPr>
              <w:t>Identify key stakeholders for the sand value chain in the private sector and academia, including businesses, financial institutions, trade associations, universities</w:t>
            </w:r>
            <w:r w:rsidR="009C5DC7">
              <w:rPr>
                <w:rFonts w:ascii="Times New Roman" w:hAnsi="Times New Roman" w:cs="Times New Roman"/>
                <w:sz w:val="24"/>
                <w:szCs w:val="24"/>
              </w:rPr>
              <w:t>,</w:t>
            </w:r>
            <w:r w:rsidRPr="00AE1F37">
              <w:rPr>
                <w:rFonts w:ascii="Times New Roman" w:hAnsi="Times New Roman" w:cs="Times New Roman"/>
                <w:sz w:val="24"/>
                <w:szCs w:val="24"/>
              </w:rPr>
              <w:t xml:space="preserve"> and professional associations.</w:t>
            </w:r>
          </w:p>
          <w:p w14:paraId="2A0689F2" w14:textId="15570979" w:rsidR="00CB196F" w:rsidRPr="00AE1F37" w:rsidRDefault="00CB196F" w:rsidP="001C1E53">
            <w:pPr>
              <w:numPr>
                <w:ilvl w:val="0"/>
                <w:numId w:val="6"/>
              </w:numPr>
              <w:rPr>
                <w:rFonts w:ascii="Times New Roman" w:hAnsi="Times New Roman" w:cs="Times New Roman"/>
                <w:sz w:val="24"/>
                <w:szCs w:val="24"/>
              </w:rPr>
            </w:pPr>
            <w:r w:rsidRPr="00AE1F37">
              <w:rPr>
                <w:rFonts w:ascii="Times New Roman" w:hAnsi="Times New Roman" w:cs="Times New Roman"/>
                <w:sz w:val="24"/>
                <w:szCs w:val="24"/>
              </w:rPr>
              <w:t xml:space="preserve">Develop a stakeholder engagement plan for academia and </w:t>
            </w:r>
            <w:r w:rsidR="009C5DC7">
              <w:rPr>
                <w:rFonts w:ascii="Times New Roman" w:hAnsi="Times New Roman" w:cs="Times New Roman"/>
                <w:sz w:val="24"/>
                <w:szCs w:val="24"/>
              </w:rPr>
              <w:t xml:space="preserve">the </w:t>
            </w:r>
            <w:r w:rsidRPr="00AE1F37">
              <w:rPr>
                <w:rFonts w:ascii="Times New Roman" w:hAnsi="Times New Roman" w:cs="Times New Roman"/>
                <w:sz w:val="24"/>
                <w:szCs w:val="24"/>
              </w:rPr>
              <w:t>private sector based on interests, influence, and roles in sand governance and biodiversity conservation.</w:t>
            </w:r>
          </w:p>
        </w:tc>
      </w:tr>
      <w:tr w:rsidR="007D3DC3" w14:paraId="0639B43F" w14:textId="77777777" w:rsidTr="00E123B3">
        <w:tc>
          <w:tcPr>
            <w:tcW w:w="1615" w:type="dxa"/>
          </w:tcPr>
          <w:p w14:paraId="75C24F51" w14:textId="1A7D001C" w:rsidR="007D3DC3" w:rsidRPr="00AE1F37" w:rsidRDefault="007D3DC3" w:rsidP="00CB196F">
            <w:pPr>
              <w:rPr>
                <w:rFonts w:ascii="Times New Roman" w:hAnsi="Times New Roman" w:cs="Times New Roman"/>
                <w:b/>
                <w:bCs/>
                <w:sz w:val="24"/>
                <w:szCs w:val="24"/>
              </w:rPr>
            </w:pPr>
            <w:r w:rsidRPr="008A5362">
              <w:rPr>
                <w:rFonts w:ascii="Times New Roman" w:eastAsia="Times New Roman" w:hAnsi="Times New Roman" w:cs="Times New Roman"/>
                <w:b/>
                <w:bCs/>
                <w:sz w:val="24"/>
                <w:szCs w:val="24"/>
              </w:rPr>
              <w:lastRenderedPageBreak/>
              <w:t>Main Deliverable</w:t>
            </w:r>
          </w:p>
        </w:tc>
        <w:tc>
          <w:tcPr>
            <w:tcW w:w="7735" w:type="dxa"/>
          </w:tcPr>
          <w:p w14:paraId="3A69C1B9" w14:textId="27D881C5" w:rsidR="007D3DC3" w:rsidRPr="007D3DC3" w:rsidRDefault="007D3DC3" w:rsidP="007D3DC3">
            <w:pPr>
              <w:pStyle w:val="ListParagraph"/>
              <w:numPr>
                <w:ilvl w:val="0"/>
                <w:numId w:val="11"/>
              </w:numPr>
              <w:spacing w:before="100" w:beforeAutospacing="1" w:after="100" w:afterAutospacing="1"/>
              <w:rPr>
                <w:rFonts w:ascii="Times New Roman" w:hAnsi="Times New Roman" w:cs="Times New Roman"/>
                <w:b/>
                <w:bCs/>
                <w:sz w:val="24"/>
                <w:szCs w:val="24"/>
              </w:rPr>
            </w:pPr>
            <w:r w:rsidRPr="007D3DC3">
              <w:rPr>
                <w:rFonts w:ascii="Times New Roman" w:eastAsia="Times New Roman" w:hAnsi="Times New Roman" w:cs="Times New Roman"/>
                <w:sz w:val="24"/>
                <w:szCs w:val="24"/>
              </w:rPr>
              <w:t>An Economic and Market Assessment Report, including sand value chain analysis, market assessment of alternatives, trade and commercialization barriers, livelihood alternatives analysis, and a roadmap for life cycle assessment and economic benchmarking of sand substitutes.</w:t>
            </w:r>
          </w:p>
        </w:tc>
      </w:tr>
      <w:tr w:rsidR="001C1E53" w14:paraId="375590AB" w14:textId="77777777" w:rsidTr="00E123B3">
        <w:tc>
          <w:tcPr>
            <w:tcW w:w="1615" w:type="dxa"/>
          </w:tcPr>
          <w:p w14:paraId="696883A8" w14:textId="5D31708E" w:rsidR="001C1E53" w:rsidRPr="001C1E53" w:rsidRDefault="001C1E53" w:rsidP="001C1E53">
            <w:pPr>
              <w:rPr>
                <w:b/>
                <w:bCs/>
              </w:rPr>
            </w:pPr>
            <w:r w:rsidRPr="001C1E53">
              <w:rPr>
                <w:b/>
                <w:bCs/>
              </w:rPr>
              <w:t>Education</w:t>
            </w:r>
          </w:p>
          <w:p w14:paraId="1D343196" w14:textId="77777777" w:rsidR="001C1E53" w:rsidRPr="00CB196F" w:rsidRDefault="001C1E53" w:rsidP="00CB196F">
            <w:pPr>
              <w:rPr>
                <w:b/>
                <w:bCs/>
              </w:rPr>
            </w:pPr>
          </w:p>
        </w:tc>
        <w:tc>
          <w:tcPr>
            <w:tcW w:w="7735" w:type="dxa"/>
          </w:tcPr>
          <w:p w14:paraId="1DB8C497" w14:textId="70F890CE" w:rsidR="001C1E53" w:rsidRDefault="001C1E53" w:rsidP="001C1E53">
            <w:pPr>
              <w:numPr>
                <w:ilvl w:val="0"/>
                <w:numId w:val="7"/>
              </w:numPr>
              <w:rPr>
                <w:rFonts w:ascii="Times New Roman" w:hAnsi="Times New Roman" w:cs="Times New Roman"/>
                <w:sz w:val="24"/>
                <w:szCs w:val="24"/>
              </w:rPr>
            </w:pPr>
            <w:r w:rsidRPr="00AE1F37">
              <w:rPr>
                <w:rFonts w:ascii="Times New Roman" w:hAnsi="Times New Roman" w:cs="Times New Roman"/>
                <w:sz w:val="24"/>
                <w:szCs w:val="24"/>
              </w:rPr>
              <w:t>Master’s degree</w:t>
            </w:r>
            <w:r w:rsidR="009C5DC7">
              <w:rPr>
                <w:rFonts w:ascii="Times New Roman" w:hAnsi="Times New Roman" w:cs="Times New Roman"/>
                <w:sz w:val="24"/>
                <w:szCs w:val="24"/>
              </w:rPr>
              <w:t xml:space="preserve"> </w:t>
            </w:r>
            <w:r w:rsidRPr="00AE1F37">
              <w:rPr>
                <w:rFonts w:ascii="Times New Roman" w:hAnsi="Times New Roman" w:cs="Times New Roman"/>
                <w:sz w:val="24"/>
                <w:szCs w:val="24"/>
              </w:rPr>
              <w:t>in Economics, Environmental Economics, Natural Resource Economics, Development Economics, Environmental Policy, Business Administration, or related field.</w:t>
            </w:r>
          </w:p>
          <w:p w14:paraId="0AD82C32" w14:textId="4502F7CA" w:rsidR="009C5DC7" w:rsidRPr="00AE1F37" w:rsidRDefault="009C5DC7" w:rsidP="001C1E53">
            <w:pPr>
              <w:numPr>
                <w:ilvl w:val="0"/>
                <w:numId w:val="7"/>
              </w:numPr>
              <w:rPr>
                <w:rFonts w:ascii="Times New Roman" w:hAnsi="Times New Roman" w:cs="Times New Roman"/>
                <w:sz w:val="24"/>
                <w:szCs w:val="24"/>
              </w:rPr>
            </w:pPr>
            <w:r>
              <w:rPr>
                <w:rFonts w:ascii="Times New Roman" w:hAnsi="Times New Roman" w:cs="Times New Roman"/>
                <w:sz w:val="24"/>
                <w:szCs w:val="24"/>
              </w:rPr>
              <w:t>A BSc degree with relevant experience is desirable</w:t>
            </w:r>
          </w:p>
          <w:p w14:paraId="765F0BD3" w14:textId="58738966" w:rsidR="001C1E53" w:rsidRPr="00AE1F37" w:rsidRDefault="001C1E53" w:rsidP="001C1E53">
            <w:pPr>
              <w:numPr>
                <w:ilvl w:val="0"/>
                <w:numId w:val="7"/>
              </w:numPr>
              <w:rPr>
                <w:rFonts w:ascii="Times New Roman" w:hAnsi="Times New Roman" w:cs="Times New Roman"/>
                <w:sz w:val="24"/>
                <w:szCs w:val="24"/>
              </w:rPr>
            </w:pPr>
            <w:r w:rsidRPr="00AE1F37">
              <w:rPr>
                <w:rFonts w:ascii="Times New Roman" w:hAnsi="Times New Roman" w:cs="Times New Roman"/>
                <w:sz w:val="24"/>
                <w:szCs w:val="24"/>
              </w:rPr>
              <w:t>Specialized training in Life Cycle Assessment (LCA), circular economy, extractive sector governance, or trade policy will be an added advantage.</w:t>
            </w:r>
          </w:p>
        </w:tc>
      </w:tr>
      <w:tr w:rsidR="001C1E53" w14:paraId="6796D44D" w14:textId="77777777" w:rsidTr="00E123B3">
        <w:tc>
          <w:tcPr>
            <w:tcW w:w="1615" w:type="dxa"/>
          </w:tcPr>
          <w:p w14:paraId="6FDB0604" w14:textId="333F4FE7" w:rsidR="001C1E53" w:rsidRPr="001C1E53" w:rsidRDefault="001C1E53" w:rsidP="001C1E53">
            <w:pPr>
              <w:rPr>
                <w:b/>
                <w:bCs/>
              </w:rPr>
            </w:pPr>
            <w:r w:rsidRPr="001C1E53">
              <w:rPr>
                <w:b/>
                <w:bCs/>
              </w:rPr>
              <w:t>Professional Experience</w:t>
            </w:r>
          </w:p>
          <w:p w14:paraId="52D9A62B" w14:textId="77777777" w:rsidR="001C1E53" w:rsidRPr="001C1E53" w:rsidRDefault="001C1E53" w:rsidP="001C1E53">
            <w:pPr>
              <w:rPr>
                <w:b/>
                <w:bCs/>
              </w:rPr>
            </w:pPr>
          </w:p>
        </w:tc>
        <w:tc>
          <w:tcPr>
            <w:tcW w:w="7735" w:type="dxa"/>
          </w:tcPr>
          <w:p w14:paraId="0FFCDB85" w14:textId="689F5EC1"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 xml:space="preserve">Minimum of </w:t>
            </w:r>
            <w:r w:rsidR="009C5DC7">
              <w:rPr>
                <w:rFonts w:ascii="Times New Roman" w:hAnsi="Times New Roman" w:cs="Times New Roman"/>
                <w:sz w:val="24"/>
                <w:szCs w:val="24"/>
              </w:rPr>
              <w:t>3</w:t>
            </w:r>
            <w:r w:rsidRPr="00AE1F37">
              <w:rPr>
                <w:rFonts w:ascii="Times New Roman" w:hAnsi="Times New Roman" w:cs="Times New Roman"/>
                <w:sz w:val="24"/>
                <w:szCs w:val="24"/>
              </w:rPr>
              <w:t>–</w:t>
            </w:r>
            <w:r w:rsidR="009C5DC7">
              <w:rPr>
                <w:rFonts w:ascii="Times New Roman" w:hAnsi="Times New Roman" w:cs="Times New Roman"/>
                <w:sz w:val="24"/>
                <w:szCs w:val="24"/>
              </w:rPr>
              <w:t>5</w:t>
            </w:r>
            <w:r w:rsidRPr="00AE1F37">
              <w:rPr>
                <w:rFonts w:ascii="Times New Roman" w:hAnsi="Times New Roman" w:cs="Times New Roman"/>
                <w:sz w:val="24"/>
                <w:szCs w:val="24"/>
              </w:rPr>
              <w:t xml:space="preserve"> years of relevant professional experience in economic analysis, market assessments, value chain development, or natural resource management.</w:t>
            </w:r>
          </w:p>
          <w:p w14:paraId="727E48C4"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Proven experience conducting socio-economic and value chain assessments in Liberia, particularly in coastal or extractive-sector contexts.</w:t>
            </w:r>
          </w:p>
          <w:p w14:paraId="71BA8408"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Demonstrated experience working with government institutions, including the EPA and sector ministries.</w:t>
            </w:r>
          </w:p>
          <w:p w14:paraId="1B68186D"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assessing informal and formal markets, including construction materials and extractive resources.</w:t>
            </w:r>
          </w:p>
          <w:p w14:paraId="037DC845"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integrating gender, youth, and vulnerable group considerations into economic and livelihood assessments.</w:t>
            </w:r>
          </w:p>
          <w:p w14:paraId="02C8ACB9" w14:textId="636AF441"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working with development partners and multidisciplinary teams is an added advantage.</w:t>
            </w:r>
          </w:p>
        </w:tc>
      </w:tr>
      <w:tr w:rsidR="00CB196F" w14:paraId="765F6AE1" w14:textId="77777777" w:rsidTr="00E123B3">
        <w:tc>
          <w:tcPr>
            <w:tcW w:w="1615" w:type="dxa"/>
          </w:tcPr>
          <w:p w14:paraId="4F39DBEC" w14:textId="02DE57A3" w:rsidR="00CB196F" w:rsidRPr="00AE1F37" w:rsidRDefault="001C1E53">
            <w:pPr>
              <w:rPr>
                <w:rFonts w:ascii="Times New Roman" w:hAnsi="Times New Roman" w:cs="Times New Roman"/>
                <w:sz w:val="24"/>
                <w:szCs w:val="24"/>
              </w:rPr>
            </w:pPr>
            <w:r w:rsidRPr="00AE1F37">
              <w:rPr>
                <w:rFonts w:ascii="Times New Roman" w:hAnsi="Times New Roman" w:cs="Times New Roman"/>
                <w:b/>
                <w:bCs/>
                <w:sz w:val="24"/>
                <w:szCs w:val="24"/>
              </w:rPr>
              <w:t>Technical Competencies</w:t>
            </w:r>
          </w:p>
        </w:tc>
        <w:tc>
          <w:tcPr>
            <w:tcW w:w="7735" w:type="dxa"/>
          </w:tcPr>
          <w:p w14:paraId="515F3F8E"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Strong knowledge of Liberia’s environmental governance framework and regulatory processes (including EIA systems).</w:t>
            </w:r>
          </w:p>
          <w:p w14:paraId="4E16185B"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Demonstrated expertise in market systems analysis, trade barrier assessment, and commercialization strategies.</w:t>
            </w:r>
          </w:p>
          <w:p w14:paraId="40B138DE"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Knowledge of sand mining governance, coastal ecosystem pressures, and biodiversity-economic linkages.</w:t>
            </w:r>
          </w:p>
          <w:p w14:paraId="69DF865F"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 xml:space="preserve">Experience applying life cycle assessment principles and </w:t>
            </w:r>
            <w:r w:rsidRPr="00AE1F37">
              <w:rPr>
                <w:rFonts w:ascii="Times New Roman" w:hAnsi="Times New Roman" w:cs="Times New Roman"/>
                <w:sz w:val="24"/>
                <w:szCs w:val="24"/>
              </w:rPr>
              <w:lastRenderedPageBreak/>
              <w:t>environmental-economic benchmarking tools.</w:t>
            </w:r>
          </w:p>
          <w:p w14:paraId="3F32CFAA"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Proven capacity in stakeholder mapping and development of stakeholder engagement plans.</w:t>
            </w:r>
          </w:p>
          <w:p w14:paraId="79B6D6E8" w14:textId="4CED6DD7" w:rsidR="00CB196F"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Strong analytical, research, and report writing skills.</w:t>
            </w:r>
            <w:r w:rsidRPr="00AE1F37">
              <w:rPr>
                <w:rFonts w:ascii="Times New Roman" w:hAnsi="Times New Roman" w:cs="Times New Roman"/>
                <w:b/>
                <w:bCs/>
                <w:sz w:val="24"/>
                <w:szCs w:val="24"/>
              </w:rPr>
              <w:t xml:space="preserve">4. </w:t>
            </w:r>
          </w:p>
        </w:tc>
      </w:tr>
      <w:tr w:rsidR="001C1E53" w:rsidRPr="00AE1F37" w14:paraId="722746C4" w14:textId="77777777" w:rsidTr="00E123B3">
        <w:tc>
          <w:tcPr>
            <w:tcW w:w="1615" w:type="dxa"/>
          </w:tcPr>
          <w:p w14:paraId="6EF876AB" w14:textId="77777777" w:rsidR="001C1E53" w:rsidRPr="00AE1F37" w:rsidRDefault="001C1E53" w:rsidP="001C1E53">
            <w:pPr>
              <w:rPr>
                <w:rFonts w:ascii="Times New Roman" w:hAnsi="Times New Roman" w:cs="Times New Roman"/>
                <w:b/>
                <w:bCs/>
                <w:sz w:val="24"/>
                <w:szCs w:val="24"/>
              </w:rPr>
            </w:pPr>
            <w:r w:rsidRPr="00AE1F37">
              <w:rPr>
                <w:rFonts w:ascii="Times New Roman" w:hAnsi="Times New Roman" w:cs="Times New Roman"/>
                <w:b/>
                <w:bCs/>
                <w:sz w:val="24"/>
                <w:szCs w:val="24"/>
              </w:rPr>
              <w:lastRenderedPageBreak/>
              <w:t>Core Competencies</w:t>
            </w:r>
          </w:p>
          <w:p w14:paraId="40E5E60E" w14:textId="77777777" w:rsidR="001C1E53" w:rsidRPr="00AE1F37" w:rsidRDefault="001C1E53">
            <w:pPr>
              <w:rPr>
                <w:rFonts w:ascii="Times New Roman" w:hAnsi="Times New Roman" w:cs="Times New Roman"/>
                <w:b/>
                <w:bCs/>
                <w:sz w:val="24"/>
                <w:szCs w:val="24"/>
              </w:rPr>
            </w:pPr>
          </w:p>
        </w:tc>
        <w:tc>
          <w:tcPr>
            <w:tcW w:w="7735" w:type="dxa"/>
          </w:tcPr>
          <w:p w14:paraId="460FFB35"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Excellent analytical and problem-solving skills.</w:t>
            </w:r>
          </w:p>
          <w:p w14:paraId="6E24EB7B"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Strong communication and stakeholder engagement skills.</w:t>
            </w:r>
          </w:p>
          <w:p w14:paraId="196AB59D"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Ability to work independently and deliver high-quality outputs within agreed timelines.</w:t>
            </w:r>
          </w:p>
          <w:p w14:paraId="4EB7899E" w14:textId="113E9CE6"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High level of professionalism, integrity, and cultural sensitivity.</w:t>
            </w:r>
          </w:p>
        </w:tc>
      </w:tr>
    </w:tbl>
    <w:p w14:paraId="6CB64416" w14:textId="77777777" w:rsidR="00CB196F" w:rsidRPr="00AE1F37" w:rsidRDefault="00CB196F">
      <w:pPr>
        <w:rPr>
          <w:rFonts w:ascii="Times New Roman" w:hAnsi="Times New Roman" w:cs="Times New Roman"/>
          <w:sz w:val="24"/>
          <w:szCs w:val="24"/>
        </w:rPr>
      </w:pPr>
    </w:p>
    <w:sectPr w:rsidR="00CB196F" w:rsidRPr="00AE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16F"/>
    <w:multiLevelType w:val="multilevel"/>
    <w:tmpl w:val="0D6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DC451"/>
    <w:multiLevelType w:val="hybridMultilevel"/>
    <w:tmpl w:val="BFB2AA4A"/>
    <w:lvl w:ilvl="0" w:tplc="54F49054">
      <w:start w:val="1"/>
      <w:numFmt w:val="decimal"/>
      <w:lvlText w:val="%1)"/>
      <w:lvlJc w:val="left"/>
      <w:pPr>
        <w:ind w:left="720" w:hanging="360"/>
      </w:pPr>
      <w:rPr>
        <w:rFonts w:ascii="Times New Roman" w:hAnsi="Times New Roman" w:hint="default"/>
      </w:rPr>
    </w:lvl>
    <w:lvl w:ilvl="1" w:tplc="624EAED6">
      <w:start w:val="1"/>
      <w:numFmt w:val="lowerLetter"/>
      <w:lvlText w:val="%2."/>
      <w:lvlJc w:val="left"/>
      <w:pPr>
        <w:ind w:left="1440" w:hanging="360"/>
      </w:pPr>
    </w:lvl>
    <w:lvl w:ilvl="2" w:tplc="E2C8B49C">
      <w:start w:val="1"/>
      <w:numFmt w:val="lowerRoman"/>
      <w:lvlText w:val="%3."/>
      <w:lvlJc w:val="right"/>
      <w:pPr>
        <w:ind w:left="2160" w:hanging="180"/>
      </w:pPr>
    </w:lvl>
    <w:lvl w:ilvl="3" w:tplc="7D5A59F6">
      <w:start w:val="1"/>
      <w:numFmt w:val="decimal"/>
      <w:lvlText w:val="%4."/>
      <w:lvlJc w:val="left"/>
      <w:pPr>
        <w:ind w:left="2880" w:hanging="360"/>
      </w:pPr>
    </w:lvl>
    <w:lvl w:ilvl="4" w:tplc="AFB65388">
      <w:start w:val="1"/>
      <w:numFmt w:val="lowerLetter"/>
      <w:lvlText w:val="%5."/>
      <w:lvlJc w:val="left"/>
      <w:pPr>
        <w:ind w:left="3600" w:hanging="360"/>
      </w:pPr>
    </w:lvl>
    <w:lvl w:ilvl="5" w:tplc="E2EE4C4C">
      <w:start w:val="1"/>
      <w:numFmt w:val="lowerRoman"/>
      <w:lvlText w:val="%6."/>
      <w:lvlJc w:val="right"/>
      <w:pPr>
        <w:ind w:left="4320" w:hanging="180"/>
      </w:pPr>
    </w:lvl>
    <w:lvl w:ilvl="6" w:tplc="6A2EF87C">
      <w:start w:val="1"/>
      <w:numFmt w:val="decimal"/>
      <w:lvlText w:val="%7."/>
      <w:lvlJc w:val="left"/>
      <w:pPr>
        <w:ind w:left="5040" w:hanging="360"/>
      </w:pPr>
    </w:lvl>
    <w:lvl w:ilvl="7" w:tplc="6AA01AA6">
      <w:start w:val="1"/>
      <w:numFmt w:val="lowerLetter"/>
      <w:lvlText w:val="%8."/>
      <w:lvlJc w:val="left"/>
      <w:pPr>
        <w:ind w:left="5760" w:hanging="360"/>
      </w:pPr>
    </w:lvl>
    <w:lvl w:ilvl="8" w:tplc="B1023342">
      <w:start w:val="1"/>
      <w:numFmt w:val="lowerRoman"/>
      <w:lvlText w:val="%9."/>
      <w:lvlJc w:val="right"/>
      <w:pPr>
        <w:ind w:left="6480" w:hanging="180"/>
      </w:pPr>
    </w:lvl>
  </w:abstractNum>
  <w:abstractNum w:abstractNumId="2" w15:restartNumberingAfterBreak="0">
    <w:nsid w:val="2B1A2EF7"/>
    <w:multiLevelType w:val="multilevel"/>
    <w:tmpl w:val="C5F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62679"/>
    <w:multiLevelType w:val="multilevel"/>
    <w:tmpl w:val="777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7D1"/>
    <w:multiLevelType w:val="multilevel"/>
    <w:tmpl w:val="25A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739A0"/>
    <w:multiLevelType w:val="multilevel"/>
    <w:tmpl w:val="E0C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356C1"/>
    <w:multiLevelType w:val="hybridMultilevel"/>
    <w:tmpl w:val="FFFFFFFF"/>
    <w:lvl w:ilvl="0" w:tplc="F420F184">
      <w:start w:val="1"/>
      <w:numFmt w:val="decimal"/>
      <w:lvlText w:val="●"/>
      <w:lvlJc w:val="left"/>
      <w:pPr>
        <w:ind w:left="720" w:hanging="360"/>
      </w:pPr>
    </w:lvl>
    <w:lvl w:ilvl="1" w:tplc="FF2E56DA">
      <w:start w:val="1"/>
      <w:numFmt w:val="lowerLetter"/>
      <w:lvlText w:val="%2."/>
      <w:lvlJc w:val="left"/>
      <w:pPr>
        <w:ind w:left="1440" w:hanging="360"/>
      </w:pPr>
    </w:lvl>
    <w:lvl w:ilvl="2" w:tplc="6A2C95A0">
      <w:start w:val="1"/>
      <w:numFmt w:val="lowerRoman"/>
      <w:lvlText w:val="%3."/>
      <w:lvlJc w:val="right"/>
      <w:pPr>
        <w:ind w:left="2160" w:hanging="180"/>
      </w:pPr>
    </w:lvl>
    <w:lvl w:ilvl="3" w:tplc="A65479AC">
      <w:start w:val="1"/>
      <w:numFmt w:val="decimal"/>
      <w:lvlText w:val="%4."/>
      <w:lvlJc w:val="left"/>
      <w:pPr>
        <w:ind w:left="2880" w:hanging="360"/>
      </w:pPr>
    </w:lvl>
    <w:lvl w:ilvl="4" w:tplc="3B0A7CFC">
      <w:start w:val="1"/>
      <w:numFmt w:val="lowerLetter"/>
      <w:lvlText w:val="%5."/>
      <w:lvlJc w:val="left"/>
      <w:pPr>
        <w:ind w:left="3600" w:hanging="360"/>
      </w:pPr>
    </w:lvl>
    <w:lvl w:ilvl="5" w:tplc="6AE2C590">
      <w:start w:val="1"/>
      <w:numFmt w:val="lowerRoman"/>
      <w:lvlText w:val="%6."/>
      <w:lvlJc w:val="right"/>
      <w:pPr>
        <w:ind w:left="4320" w:hanging="180"/>
      </w:pPr>
    </w:lvl>
    <w:lvl w:ilvl="6" w:tplc="C2FCCDBC">
      <w:start w:val="1"/>
      <w:numFmt w:val="decimal"/>
      <w:lvlText w:val="%7."/>
      <w:lvlJc w:val="left"/>
      <w:pPr>
        <w:ind w:left="5040" w:hanging="360"/>
      </w:pPr>
    </w:lvl>
    <w:lvl w:ilvl="7" w:tplc="2D34A288">
      <w:start w:val="1"/>
      <w:numFmt w:val="lowerLetter"/>
      <w:lvlText w:val="%8."/>
      <w:lvlJc w:val="left"/>
      <w:pPr>
        <w:ind w:left="5760" w:hanging="360"/>
      </w:pPr>
    </w:lvl>
    <w:lvl w:ilvl="8" w:tplc="B17C9930">
      <w:start w:val="1"/>
      <w:numFmt w:val="lowerRoman"/>
      <w:lvlText w:val="%9."/>
      <w:lvlJc w:val="right"/>
      <w:pPr>
        <w:ind w:left="6480" w:hanging="180"/>
      </w:pPr>
    </w:lvl>
  </w:abstractNum>
  <w:abstractNum w:abstractNumId="7" w15:restartNumberingAfterBreak="0">
    <w:nsid w:val="483B3B4A"/>
    <w:multiLevelType w:val="multilevel"/>
    <w:tmpl w:val="664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54064"/>
    <w:multiLevelType w:val="hybridMultilevel"/>
    <w:tmpl w:val="EDD6AF16"/>
    <w:lvl w:ilvl="0" w:tplc="F35A48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239D"/>
    <w:multiLevelType w:val="multilevel"/>
    <w:tmpl w:val="E02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01F2D"/>
    <w:multiLevelType w:val="multilevel"/>
    <w:tmpl w:val="746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9"/>
  </w:num>
  <w:num w:numId="5">
    <w:abstractNumId w:val="3"/>
  </w:num>
  <w:num w:numId="6">
    <w:abstractNumId w:val="10"/>
  </w:num>
  <w:num w:numId="7">
    <w:abstractNumId w:val="0"/>
  </w:num>
  <w:num w:numId="8">
    <w:abstractNumId w:val="7"/>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D4"/>
    <w:rsid w:val="00070ACD"/>
    <w:rsid w:val="000B2F39"/>
    <w:rsid w:val="00103BD4"/>
    <w:rsid w:val="00146D85"/>
    <w:rsid w:val="00182314"/>
    <w:rsid w:val="001C1E53"/>
    <w:rsid w:val="00371D33"/>
    <w:rsid w:val="003E4D36"/>
    <w:rsid w:val="005159D7"/>
    <w:rsid w:val="0058113A"/>
    <w:rsid w:val="00586953"/>
    <w:rsid w:val="005E513C"/>
    <w:rsid w:val="00655881"/>
    <w:rsid w:val="006B417B"/>
    <w:rsid w:val="006C436C"/>
    <w:rsid w:val="007922D3"/>
    <w:rsid w:val="007D3DC3"/>
    <w:rsid w:val="00900B40"/>
    <w:rsid w:val="00913A81"/>
    <w:rsid w:val="00940AFD"/>
    <w:rsid w:val="009C5DC7"/>
    <w:rsid w:val="00AA02C7"/>
    <w:rsid w:val="00AE1F37"/>
    <w:rsid w:val="00AE5BAD"/>
    <w:rsid w:val="00C1623F"/>
    <w:rsid w:val="00CB196F"/>
    <w:rsid w:val="00D20732"/>
    <w:rsid w:val="00E123B3"/>
    <w:rsid w:val="00E97AC6"/>
    <w:rsid w:val="00EE28D2"/>
    <w:rsid w:val="00F10F86"/>
    <w:rsid w:val="00F3603D"/>
    <w:rsid w:val="00F7681F"/>
    <w:rsid w:val="00FE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0628"/>
  <w15:chartTrackingRefBased/>
  <w15:docId w15:val="{DACCE6E3-580F-482E-A557-0EA3242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BD4"/>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zh-CN"/>
    </w:rPr>
  </w:style>
  <w:style w:type="paragraph" w:styleId="Heading2">
    <w:name w:val="heading 2"/>
    <w:basedOn w:val="Normal"/>
    <w:next w:val="Normal"/>
    <w:link w:val="Heading2Char"/>
    <w:uiPriority w:val="9"/>
    <w:unhideWhenUsed/>
    <w:qFormat/>
    <w:rsid w:val="00103BD4"/>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BD4"/>
    <w:pPr>
      <w:widowControl w:val="0"/>
      <w:tabs>
        <w:tab w:val="center" w:pos="4680"/>
        <w:tab w:val="right" w:pos="9360"/>
      </w:tabs>
      <w:spacing w:after="0" w:line="240" w:lineRule="auto"/>
    </w:pPr>
    <w:rPr>
      <w:rFonts w:ascii="Arial" w:eastAsia="Arial" w:hAnsi="Arial" w:cs="Arial"/>
      <w:lang w:eastAsia="zh-CN"/>
    </w:rPr>
  </w:style>
  <w:style w:type="character" w:customStyle="1" w:styleId="HeaderChar">
    <w:name w:val="Header Char"/>
    <w:basedOn w:val="DefaultParagraphFont"/>
    <w:link w:val="Header"/>
    <w:uiPriority w:val="99"/>
    <w:rsid w:val="00103BD4"/>
    <w:rPr>
      <w:rFonts w:ascii="Arial" w:eastAsia="Arial" w:hAnsi="Arial" w:cs="Arial"/>
      <w:lang w:eastAsia="zh-CN"/>
    </w:rPr>
  </w:style>
  <w:style w:type="character" w:customStyle="1" w:styleId="Heading1Char">
    <w:name w:val="Heading 1 Char"/>
    <w:basedOn w:val="DefaultParagraphFont"/>
    <w:link w:val="Heading1"/>
    <w:uiPriority w:val="9"/>
    <w:rsid w:val="00103BD4"/>
    <w:rPr>
      <w:rFonts w:ascii="Arial" w:eastAsia="Arial" w:hAnsi="Arial" w:cs="Arial"/>
      <w:b/>
      <w:bCs/>
      <w:sz w:val="48"/>
      <w:szCs w:val="48"/>
      <w:lang w:eastAsia="zh-CN"/>
    </w:rPr>
  </w:style>
  <w:style w:type="character" w:customStyle="1" w:styleId="Heading2Char">
    <w:name w:val="Heading 2 Char"/>
    <w:basedOn w:val="DefaultParagraphFont"/>
    <w:link w:val="Heading2"/>
    <w:uiPriority w:val="9"/>
    <w:rsid w:val="00103BD4"/>
    <w:rPr>
      <w:rFonts w:ascii="Arial" w:eastAsia="Arial" w:hAnsi="Arial" w:cs="Arial"/>
      <w:b/>
      <w:bCs/>
      <w:sz w:val="36"/>
      <w:szCs w:val="36"/>
      <w:lang w:eastAsia="zh-CN"/>
    </w:rPr>
  </w:style>
  <w:style w:type="paragraph" w:styleId="ListParagraph">
    <w:name w:val="List Paragraph"/>
    <w:basedOn w:val="Normal"/>
    <w:uiPriority w:val="34"/>
    <w:qFormat/>
    <w:rsid w:val="00103BD4"/>
    <w:pPr>
      <w:widowControl w:val="0"/>
      <w:spacing w:after="0" w:line="240" w:lineRule="auto"/>
      <w:ind w:left="720"/>
      <w:contextualSpacing/>
    </w:pPr>
    <w:rPr>
      <w:rFonts w:ascii="Arial" w:eastAsia="Arial" w:hAnsi="Arial" w:cs="Arial"/>
      <w:lang w:eastAsia="zh-CN"/>
    </w:rPr>
  </w:style>
  <w:style w:type="table" w:styleId="TableGrid">
    <w:name w:val="Table Grid"/>
    <w:basedOn w:val="TableNormal"/>
    <w:uiPriority w:val="39"/>
    <w:rsid w:val="00103BD4"/>
    <w:pPr>
      <w:widowControl w:val="0"/>
      <w:spacing w:after="0" w:line="240" w:lineRule="auto"/>
    </w:pPr>
    <w:rPr>
      <w:rFonts w:ascii="Arial" w:eastAsia="Arial"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603D"/>
    <w:rPr>
      <w:color w:val="0563C1" w:themeColor="hyperlink"/>
      <w:u w:val="single"/>
    </w:rPr>
  </w:style>
  <w:style w:type="character" w:styleId="UnresolvedMention">
    <w:name w:val="Unresolved Mention"/>
    <w:basedOn w:val="DefaultParagraphFont"/>
    <w:uiPriority w:val="99"/>
    <w:semiHidden/>
    <w:unhideWhenUsed/>
    <w:rsid w:val="0037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pa.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THOMPSON</dc:creator>
  <cp:keywords/>
  <dc:description/>
  <cp:lastModifiedBy>Microsoft Office User</cp:lastModifiedBy>
  <cp:revision>2</cp:revision>
  <dcterms:created xsi:type="dcterms:W3CDTF">2026-03-27T14:27:00Z</dcterms:created>
  <dcterms:modified xsi:type="dcterms:W3CDTF">2026-03-27T14:27:00Z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b188a892-a0c0-4310-8d84-ad375eb5840a</vt:lpwstr>
  </property>
</Properties>
</file>