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2FA2" w14:textId="400A68DB" w:rsidR="00442A3B" w:rsidRPr="003563A0" w:rsidRDefault="00442A3B" w:rsidP="003563A0">
      <w:pPr>
        <w:jc w:val="both"/>
        <w:rPr>
          <w:b/>
          <w:bCs/>
        </w:rPr>
      </w:pPr>
      <w:bookmarkStart w:id="0" w:name="_Hlk207616389"/>
      <w:r w:rsidRPr="003F22C0">
        <w:rPr>
          <w:rFonts w:eastAsia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62113" wp14:editId="3F8FBFED">
                <wp:simplePos x="0" y="0"/>
                <wp:positionH relativeFrom="column">
                  <wp:posOffset>-126340870</wp:posOffset>
                </wp:positionH>
                <wp:positionV relativeFrom="paragraph">
                  <wp:posOffset>-1015559945</wp:posOffset>
                </wp:positionV>
                <wp:extent cx="4952365" cy="297180"/>
                <wp:effectExtent l="0" t="0" r="0" b="7620"/>
                <wp:wrapNone/>
                <wp:docPr id="12396722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23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DA007" w14:textId="77777777" w:rsidR="00442A3B" w:rsidRPr="00944808" w:rsidRDefault="00442A3B" w:rsidP="00442A3B">
                            <w:r w:rsidRPr="00944808">
                              <w:rPr>
                                <w:rFonts w:eastAsia="Calibri"/>
                              </w:rPr>
                              <w:t>Strengthening Institutional Capacity for Climate Change Adaptation 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621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948.1pt;margin-top:-79965.35pt;width:389.9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" filled="f" stroked="f" strokeweight=".5pt">
                <v:textbox>
                  <w:txbxContent>
                    <w:p w14:paraId="2D6DA007" w14:textId="77777777" w:rsidR="00442A3B" w:rsidRPr="00944808" w:rsidRDefault="00442A3B" w:rsidP="00442A3B">
                      <w:r w:rsidRPr="00944808">
                        <w:rPr>
                          <w:rFonts w:eastAsia="Calibri"/>
                        </w:rPr>
                        <w:t>Strengthening Institutional Capacity for Climate Change Adaptation Planning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1260"/>
        <w:gridCol w:w="3780"/>
        <w:gridCol w:w="2880"/>
        <w:gridCol w:w="2430"/>
      </w:tblGrid>
      <w:tr w:rsidR="00442A3B" w:rsidRPr="003F22C0" w14:paraId="4EFE79C0" w14:textId="77777777" w:rsidTr="003563A0">
        <w:tc>
          <w:tcPr>
            <w:tcW w:w="5040" w:type="dxa"/>
            <w:gridSpan w:val="2"/>
            <w:vAlign w:val="center"/>
          </w:tcPr>
          <w:p w14:paraId="280B2FA5" w14:textId="77777777" w:rsidR="00442A3B" w:rsidRPr="003F22C0" w:rsidRDefault="00442A3B" w:rsidP="003F22C0">
            <w:pPr>
              <w:jc w:val="both"/>
            </w:pPr>
            <w:r w:rsidRPr="003F22C0">
              <w:t xml:space="preserve">Job Title </w:t>
            </w:r>
          </w:p>
        </w:tc>
        <w:tc>
          <w:tcPr>
            <w:tcW w:w="5310" w:type="dxa"/>
            <w:gridSpan w:val="2"/>
            <w:vAlign w:val="center"/>
          </w:tcPr>
          <w:p w14:paraId="3F00F3A8" w14:textId="77777777" w:rsidR="00442A3B" w:rsidRDefault="00476000" w:rsidP="003F22C0">
            <w:pPr>
              <w:jc w:val="both"/>
              <w:rPr>
                <w:b/>
              </w:rPr>
            </w:pPr>
            <w:r w:rsidRPr="008B4576">
              <w:rPr>
                <w:b/>
              </w:rPr>
              <w:t>Legal Officer</w:t>
            </w:r>
          </w:p>
          <w:p w14:paraId="502FA5F5" w14:textId="6BC0C51A" w:rsidR="0023109A" w:rsidRPr="008B4576" w:rsidRDefault="0023109A" w:rsidP="003F22C0">
            <w:pPr>
              <w:jc w:val="both"/>
              <w:rPr>
                <w:b/>
              </w:rPr>
            </w:pPr>
          </w:p>
        </w:tc>
      </w:tr>
      <w:tr w:rsidR="0023109A" w:rsidRPr="003F22C0" w14:paraId="4B9A59C6" w14:textId="77777777" w:rsidTr="005B4122">
        <w:tc>
          <w:tcPr>
            <w:tcW w:w="5040" w:type="dxa"/>
            <w:gridSpan w:val="2"/>
          </w:tcPr>
          <w:p w14:paraId="7B69D5C8" w14:textId="6AC962AD" w:rsidR="0023109A" w:rsidRPr="0023109A" w:rsidRDefault="0023109A" w:rsidP="0023109A">
            <w:pPr>
              <w:jc w:val="both"/>
              <w:rPr>
                <w:bCs/>
              </w:rPr>
            </w:pPr>
            <w:r w:rsidRPr="0023109A">
              <w:rPr>
                <w:bCs/>
                <w:sz w:val="23"/>
                <w:szCs w:val="23"/>
              </w:rPr>
              <w:t>Procuring Entity</w:t>
            </w:r>
          </w:p>
        </w:tc>
        <w:tc>
          <w:tcPr>
            <w:tcW w:w="5310" w:type="dxa"/>
            <w:gridSpan w:val="2"/>
          </w:tcPr>
          <w:p w14:paraId="79FEDBD0" w14:textId="77777777" w:rsidR="0023109A" w:rsidRPr="0023109A" w:rsidRDefault="0023109A" w:rsidP="0023109A">
            <w:pPr>
              <w:jc w:val="both"/>
              <w:rPr>
                <w:b/>
                <w:bCs/>
                <w:sz w:val="23"/>
                <w:szCs w:val="23"/>
              </w:rPr>
            </w:pPr>
            <w:r w:rsidRPr="0023109A">
              <w:rPr>
                <w:b/>
                <w:bCs/>
                <w:sz w:val="23"/>
                <w:szCs w:val="23"/>
              </w:rPr>
              <w:t>Environmental Protection Agency (EPA)</w:t>
            </w:r>
          </w:p>
          <w:p w14:paraId="263B4A33" w14:textId="4ADB7345" w:rsidR="0023109A" w:rsidRPr="008B4576" w:rsidRDefault="0023109A" w:rsidP="0023109A">
            <w:pPr>
              <w:jc w:val="both"/>
              <w:rPr>
                <w:b/>
              </w:rPr>
            </w:pPr>
          </w:p>
        </w:tc>
      </w:tr>
      <w:tr w:rsidR="00442A3B" w:rsidRPr="003F22C0" w14:paraId="776CAEEB" w14:textId="77777777" w:rsidTr="003563A0">
        <w:tc>
          <w:tcPr>
            <w:tcW w:w="5040" w:type="dxa"/>
            <w:gridSpan w:val="2"/>
            <w:vAlign w:val="center"/>
          </w:tcPr>
          <w:p w14:paraId="13919B1C" w14:textId="77777777" w:rsidR="00442A3B" w:rsidRPr="003F22C0" w:rsidRDefault="00442A3B" w:rsidP="003F22C0">
            <w:pPr>
              <w:jc w:val="both"/>
            </w:pPr>
            <w:r w:rsidRPr="003F22C0">
              <w:t>Division/Department</w:t>
            </w:r>
          </w:p>
        </w:tc>
        <w:tc>
          <w:tcPr>
            <w:tcW w:w="5310" w:type="dxa"/>
            <w:gridSpan w:val="2"/>
            <w:vAlign w:val="center"/>
          </w:tcPr>
          <w:p w14:paraId="53F84B46" w14:textId="619A30FE" w:rsidR="0023109A" w:rsidRPr="008B4576" w:rsidRDefault="0023109A" w:rsidP="0023109A">
            <w:pPr>
              <w:jc w:val="both"/>
              <w:rPr>
                <w:b/>
              </w:rPr>
            </w:pPr>
            <w:r>
              <w:rPr>
                <w:b/>
              </w:rPr>
              <w:t>Legal Unit</w:t>
            </w:r>
          </w:p>
        </w:tc>
      </w:tr>
      <w:tr w:rsidR="00A746D8" w:rsidRPr="003F22C0" w14:paraId="1093C78F" w14:textId="77777777" w:rsidTr="003563A0">
        <w:trPr>
          <w:trHeight w:val="737"/>
        </w:trPr>
        <w:tc>
          <w:tcPr>
            <w:tcW w:w="5040" w:type="dxa"/>
            <w:gridSpan w:val="2"/>
            <w:vAlign w:val="center"/>
          </w:tcPr>
          <w:p w14:paraId="7C88B576" w14:textId="77777777" w:rsidR="00A746D8" w:rsidRPr="003F22C0" w:rsidRDefault="00A746D8" w:rsidP="003F22C0">
            <w:pPr>
              <w:jc w:val="both"/>
            </w:pPr>
            <w:r w:rsidRPr="003F22C0">
              <w:rPr>
                <w:rFonts w:eastAsia="Calibri"/>
              </w:rPr>
              <w:t>Assignment</w:t>
            </w:r>
          </w:p>
        </w:tc>
        <w:tc>
          <w:tcPr>
            <w:tcW w:w="5310" w:type="dxa"/>
            <w:gridSpan w:val="2"/>
            <w:vAlign w:val="center"/>
          </w:tcPr>
          <w:p w14:paraId="4068D3D7" w14:textId="1E09B66C" w:rsidR="00A746D8" w:rsidRPr="003F22C0" w:rsidRDefault="00B42439" w:rsidP="003F22C0">
            <w:pPr>
              <w:jc w:val="both"/>
            </w:pPr>
            <w:r w:rsidRPr="003F22C0">
              <w:t>Provide expert legal support to EPA d</w:t>
            </w:r>
            <w:r w:rsidR="003F22C0">
              <w:t xml:space="preserve">epartments to ensure compliance </w:t>
            </w:r>
            <w:r w:rsidRPr="003F22C0">
              <w:t>with national/international environmental regulations and strengthen EPA’s capacity in enforcement, litigation, contract</w:t>
            </w:r>
            <w:r w:rsidR="0023109A">
              <w:t>s</w:t>
            </w:r>
            <w:r w:rsidRPr="003F22C0">
              <w:t xml:space="preserve"> drafting, and dispute resolution.</w:t>
            </w:r>
          </w:p>
        </w:tc>
      </w:tr>
      <w:tr w:rsidR="00442A3B" w:rsidRPr="003F22C0" w14:paraId="5C23FFDD" w14:textId="77777777" w:rsidTr="003563A0">
        <w:tc>
          <w:tcPr>
            <w:tcW w:w="5040" w:type="dxa"/>
            <w:gridSpan w:val="2"/>
            <w:vAlign w:val="center"/>
          </w:tcPr>
          <w:p w14:paraId="105B745F" w14:textId="77777777" w:rsidR="00442A3B" w:rsidRPr="003F22C0" w:rsidRDefault="00442A3B" w:rsidP="003F22C0">
            <w:pPr>
              <w:jc w:val="both"/>
              <w:rPr>
                <w:rFonts w:eastAsia="Calibri"/>
              </w:rPr>
            </w:pPr>
            <w:r w:rsidRPr="003F22C0">
              <w:t>Location</w:t>
            </w:r>
          </w:p>
        </w:tc>
        <w:tc>
          <w:tcPr>
            <w:tcW w:w="5310" w:type="dxa"/>
            <w:gridSpan w:val="2"/>
            <w:vAlign w:val="center"/>
          </w:tcPr>
          <w:p w14:paraId="1F8C1590" w14:textId="0FE10B8E" w:rsidR="00442A3B" w:rsidRPr="003F22C0" w:rsidRDefault="00BF71BC" w:rsidP="003F22C0">
            <w:pPr>
              <w:jc w:val="both"/>
            </w:pPr>
            <w:r w:rsidRPr="003F22C0">
              <w:t xml:space="preserve">Based in Monrovia, with occasional travel to counties, courts, or field sites. </w:t>
            </w:r>
          </w:p>
        </w:tc>
      </w:tr>
      <w:tr w:rsidR="00442A3B" w:rsidRPr="003F22C0" w14:paraId="162C9909" w14:textId="77777777" w:rsidTr="003563A0">
        <w:tc>
          <w:tcPr>
            <w:tcW w:w="1260" w:type="dxa"/>
            <w:vAlign w:val="center"/>
          </w:tcPr>
          <w:p w14:paraId="6C1BB738" w14:textId="77777777" w:rsidR="00442A3B" w:rsidRPr="003F22C0" w:rsidRDefault="00442A3B" w:rsidP="003F22C0">
            <w:pPr>
              <w:jc w:val="both"/>
            </w:pPr>
            <w:r w:rsidRPr="003F22C0">
              <w:t>Reports to</w:t>
            </w:r>
          </w:p>
        </w:tc>
        <w:tc>
          <w:tcPr>
            <w:tcW w:w="3780" w:type="dxa"/>
            <w:vAlign w:val="center"/>
          </w:tcPr>
          <w:p w14:paraId="7E50DBCC" w14:textId="0D783EC1" w:rsidR="00442A3B" w:rsidRPr="003F22C0" w:rsidRDefault="00B42439" w:rsidP="003F22C0">
            <w:pPr>
              <w:jc w:val="both"/>
            </w:pPr>
            <w:r w:rsidRPr="003F22C0">
              <w:t xml:space="preserve">The Legal Officer will report to the </w:t>
            </w:r>
            <w:r w:rsidRPr="003F22C0">
              <w:rPr>
                <w:b/>
              </w:rPr>
              <w:t>Executive Director of the Environmental Protection Agency/EPA</w:t>
            </w:r>
          </w:p>
        </w:tc>
        <w:tc>
          <w:tcPr>
            <w:tcW w:w="2880" w:type="dxa"/>
            <w:vAlign w:val="center"/>
          </w:tcPr>
          <w:p w14:paraId="7F0D1612" w14:textId="533F87C5" w:rsidR="00442A3B" w:rsidRPr="003F22C0" w:rsidRDefault="00675A61" w:rsidP="003F22C0">
            <w:pPr>
              <w:jc w:val="both"/>
            </w:pPr>
            <w:r>
              <w:t xml:space="preserve">Contract </w:t>
            </w:r>
            <w:r w:rsidR="00442A3B" w:rsidRPr="003F22C0">
              <w:t>Duration</w:t>
            </w:r>
          </w:p>
        </w:tc>
        <w:tc>
          <w:tcPr>
            <w:tcW w:w="2430" w:type="dxa"/>
            <w:vAlign w:val="center"/>
          </w:tcPr>
          <w:p w14:paraId="34149F36" w14:textId="74D98675" w:rsidR="00442A3B" w:rsidRPr="003F22C0" w:rsidRDefault="00BF71BC" w:rsidP="003F22C0">
            <w:pPr>
              <w:jc w:val="both"/>
            </w:pPr>
            <w:r w:rsidRPr="003F22C0">
              <w:t>1 year, renewable based on performance</w:t>
            </w:r>
          </w:p>
        </w:tc>
      </w:tr>
    </w:tbl>
    <w:p w14:paraId="47F7AD82" w14:textId="77777777" w:rsidR="00442A3B" w:rsidRPr="003F22C0" w:rsidRDefault="00442A3B" w:rsidP="003F22C0">
      <w:pPr>
        <w:jc w:val="both"/>
      </w:pPr>
    </w:p>
    <w:p w14:paraId="03C839C2" w14:textId="4B980BA0" w:rsidR="00442A3B" w:rsidRPr="003F22C0" w:rsidRDefault="00442A3B" w:rsidP="003F22C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3F22C0">
        <w:rPr>
          <w:b/>
          <w:bCs/>
        </w:rPr>
        <w:t>BACKGROUND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10350"/>
      </w:tblGrid>
      <w:tr w:rsidR="00442A3B" w:rsidRPr="003F22C0" w14:paraId="1E050CA3" w14:textId="77777777" w:rsidTr="00EE5D82">
        <w:tc>
          <w:tcPr>
            <w:tcW w:w="10350" w:type="dxa"/>
          </w:tcPr>
          <w:p w14:paraId="1D1732D0" w14:textId="76F17748" w:rsidR="00442A3B" w:rsidRPr="001808B3" w:rsidRDefault="003F22C0" w:rsidP="003F22C0">
            <w:pPr>
              <w:spacing w:line="276" w:lineRule="auto"/>
              <w:jc w:val="both"/>
              <w:rPr>
                <w:rFonts w:eastAsia="Calibri"/>
                <w:lang w:val="en-ZA"/>
              </w:rPr>
            </w:pPr>
            <w:r w:rsidRPr="00AB3DF7">
              <w:t xml:space="preserve">Established under the Environmental Protection Agency Act (2002) </w:t>
            </w:r>
            <w:r w:rsidRPr="00AB3DF7">
              <w:rPr>
                <w:rFonts w:eastAsia="Calibri"/>
                <w:lang w:val="en-ZA"/>
              </w:rPr>
              <w:t>the</w:t>
            </w:r>
            <w:r w:rsidR="00442A3B" w:rsidRPr="00AB3DF7">
              <w:rPr>
                <w:rFonts w:eastAsia="Calibri"/>
                <w:lang w:val="en-ZA"/>
              </w:rPr>
              <w:t xml:space="preserve"> EPA is Liberia's principal authority for environmental </w:t>
            </w:r>
            <w:r w:rsidR="0032792A" w:rsidRPr="00AB3DF7">
              <w:rPr>
                <w:rFonts w:eastAsia="Calibri"/>
                <w:lang w:val="en-ZA"/>
              </w:rPr>
              <w:t>management,</w:t>
            </w:r>
            <w:r w:rsidRPr="00AB3DF7">
              <w:rPr>
                <w:rFonts w:eastAsia="Calibri"/>
                <w:lang w:val="en-ZA"/>
              </w:rPr>
              <w:t xml:space="preserve"> </w:t>
            </w:r>
            <w:r w:rsidRPr="00AB3DF7">
              <w:t xml:space="preserve">oversees regulation, compliance, and enforcement of environmental laws in Liberia. With growing complexity in environmental </w:t>
            </w:r>
            <w:r w:rsidR="007D2ECF" w:rsidRPr="00AB3DF7">
              <w:t xml:space="preserve">governance, </w:t>
            </w:r>
            <w:r w:rsidRPr="00AB3DF7">
              <w:t>including land use, pollution control, EIA processes, and natural resource management—the EPA requires a Legal Officer to guide legal compliance and strengthen dispute resolution</w:t>
            </w:r>
            <w:r w:rsidR="00442A3B" w:rsidRPr="00AB3DF7">
              <w:rPr>
                <w:rFonts w:eastAsia="Calibri"/>
                <w:lang w:val="en-ZA"/>
              </w:rPr>
              <w:t>, and consults with relevant stakeholders and sector Ministries, Agencies, and Commissions (MACs) on all activities related to protecting the environment and sustainable use of its natural resources.</w:t>
            </w:r>
          </w:p>
        </w:tc>
      </w:tr>
    </w:tbl>
    <w:p w14:paraId="42C29019" w14:textId="77777777" w:rsidR="00442A3B" w:rsidRPr="001808B3" w:rsidRDefault="00442A3B" w:rsidP="003F22C0">
      <w:pPr>
        <w:jc w:val="both"/>
        <w:rPr>
          <w:sz w:val="4"/>
          <w:szCs w:val="4"/>
        </w:rPr>
      </w:pPr>
    </w:p>
    <w:p w14:paraId="3D1EE27A" w14:textId="02B1157E" w:rsidR="00442A3B" w:rsidRPr="003F22C0" w:rsidRDefault="00442A3B" w:rsidP="003F22C0">
      <w:pPr>
        <w:jc w:val="both"/>
        <w:rPr>
          <w:b/>
          <w:bCs/>
        </w:rPr>
      </w:pP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10350"/>
      </w:tblGrid>
      <w:tr w:rsidR="00442A3B" w:rsidRPr="003F22C0" w14:paraId="2F34E645" w14:textId="77777777" w:rsidTr="007D2ECF">
        <w:trPr>
          <w:trHeight w:val="444"/>
        </w:trPr>
        <w:tc>
          <w:tcPr>
            <w:tcW w:w="10350" w:type="dxa"/>
          </w:tcPr>
          <w:p w14:paraId="1F072AF3" w14:textId="4B3B46D6" w:rsidR="00F450C0" w:rsidRPr="003F22C0" w:rsidRDefault="00AB3DF7" w:rsidP="003F22C0">
            <w:pPr>
              <w:jc w:val="both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450C0" w:rsidRPr="003F22C0">
              <w:rPr>
                <w:b/>
                <w:bCs/>
              </w:rPr>
              <w:t>. Objective of the Assignment</w:t>
            </w:r>
          </w:p>
          <w:p w14:paraId="0E168601" w14:textId="77777777" w:rsidR="000E0BA5" w:rsidRPr="003F22C0" w:rsidRDefault="000E0BA5" w:rsidP="003F22C0">
            <w:pPr>
              <w:jc w:val="both"/>
            </w:pPr>
          </w:p>
          <w:p w14:paraId="2D4BEA09" w14:textId="4F89ED11" w:rsidR="007436C7" w:rsidRPr="003F22C0" w:rsidRDefault="007436C7" w:rsidP="003F22C0">
            <w:pPr>
              <w:jc w:val="both"/>
            </w:pPr>
            <w:r w:rsidRPr="00AB3DF7">
              <w:t>Provide expert legal support to EPA departments to ensure compliance with national/international environmental regulations and strengthen EPA’s capacity in enforcement, litigation, contract</w:t>
            </w:r>
            <w:r w:rsidR="007D2ECF">
              <w:t>s</w:t>
            </w:r>
            <w:r w:rsidRPr="00AB3DF7">
              <w:t xml:space="preserve"> drafting, and dispute resolution.</w:t>
            </w:r>
          </w:p>
          <w:p w14:paraId="15B6F4CC" w14:textId="3C19638C" w:rsidR="00723916" w:rsidRPr="00AB3DF7" w:rsidRDefault="00F450C0" w:rsidP="00AB3DF7">
            <w:pPr>
              <w:pStyle w:val="Heading1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3DF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3. </w:t>
            </w:r>
            <w:r w:rsidR="007436C7" w:rsidRPr="00AB3DF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Key Responsibilities</w:t>
            </w:r>
          </w:p>
          <w:p w14:paraId="2FA0591C" w14:textId="77777777" w:rsidR="007D2ECF" w:rsidRDefault="007436C7" w:rsidP="007D2ECF">
            <w:pPr>
              <w:pStyle w:val="ListBulle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</w:rPr>
            </w:pPr>
            <w:r w:rsidRPr="003F22C0">
              <w:rPr>
                <w:rFonts w:ascii="Times New Roman" w:hAnsi="Times New Roman" w:cs="Times New Roman"/>
              </w:rPr>
              <w:t>Legal Advice &amp; Compliance: Review, interpret, and advise on legislation, regulations, standards, and permit conditions.</w:t>
            </w:r>
          </w:p>
          <w:p w14:paraId="2FC70E67" w14:textId="77777777" w:rsidR="007D2ECF" w:rsidRDefault="007436C7" w:rsidP="007D2ECF">
            <w:pPr>
              <w:pStyle w:val="ListBulle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</w:rPr>
            </w:pPr>
            <w:r w:rsidRPr="007D2ECF">
              <w:rPr>
                <w:rFonts w:ascii="Times New Roman" w:hAnsi="Times New Roman" w:cs="Times New Roman"/>
              </w:rPr>
              <w:t>Contracts &amp; Agreements: Draft, review, and negotiate MoUs, partnership agreements, consultancy contracts, and procurement-related documents.</w:t>
            </w:r>
          </w:p>
          <w:p w14:paraId="3D72D0FB" w14:textId="77777777" w:rsidR="007D2ECF" w:rsidRDefault="007436C7" w:rsidP="007D2ECF">
            <w:pPr>
              <w:pStyle w:val="ListBulle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</w:rPr>
            </w:pPr>
            <w:r w:rsidRPr="007D2ECF">
              <w:rPr>
                <w:rFonts w:ascii="Times New Roman" w:hAnsi="Times New Roman" w:cs="Times New Roman"/>
              </w:rPr>
              <w:lastRenderedPageBreak/>
              <w:t>Litigation &amp; Enforcement: Represent EPA in administrative, civil, or criminal proceedings related to environmental violations.</w:t>
            </w:r>
          </w:p>
          <w:p w14:paraId="105E88C4" w14:textId="77777777" w:rsidR="007D2ECF" w:rsidRDefault="007436C7" w:rsidP="007D2ECF">
            <w:pPr>
              <w:pStyle w:val="ListBulle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</w:rPr>
            </w:pPr>
            <w:r w:rsidRPr="007D2ECF">
              <w:rPr>
                <w:rFonts w:ascii="Times New Roman" w:hAnsi="Times New Roman" w:cs="Times New Roman"/>
              </w:rPr>
              <w:t>Policy &amp; Regulatory Reform: Support drafting or amendment of environmental laws and regulations.</w:t>
            </w:r>
          </w:p>
          <w:p w14:paraId="1334B7E4" w14:textId="77777777" w:rsidR="007D2ECF" w:rsidRDefault="007436C7" w:rsidP="007D2ECF">
            <w:pPr>
              <w:pStyle w:val="ListBulle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</w:rPr>
            </w:pPr>
            <w:r w:rsidRPr="007D2ECF">
              <w:rPr>
                <w:rFonts w:ascii="Times New Roman" w:hAnsi="Times New Roman" w:cs="Times New Roman"/>
              </w:rPr>
              <w:t>ADR &amp; Dispute Resolution: Collaborate on establishing or managing alternative dispute resolution mechanisms for environmental conflicts.</w:t>
            </w:r>
          </w:p>
          <w:p w14:paraId="5EE1399F" w14:textId="77777777" w:rsidR="007D2ECF" w:rsidRDefault="007436C7" w:rsidP="007D2ECF">
            <w:pPr>
              <w:pStyle w:val="ListBulle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</w:rPr>
            </w:pPr>
            <w:r w:rsidRPr="007D2ECF">
              <w:rPr>
                <w:rFonts w:ascii="Times New Roman" w:hAnsi="Times New Roman" w:cs="Times New Roman"/>
              </w:rPr>
              <w:t>Stakeholder Engagement &amp; Capacity Building: Liaise with external counsel, judiciary, public institutions, and communities.</w:t>
            </w:r>
          </w:p>
          <w:p w14:paraId="7FDF09D2" w14:textId="2F941473" w:rsidR="007436C7" w:rsidRPr="007D2ECF" w:rsidRDefault="007436C7" w:rsidP="007D2ECF">
            <w:pPr>
              <w:pStyle w:val="ListBulle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</w:rPr>
            </w:pPr>
            <w:r w:rsidRPr="007D2ECF">
              <w:rPr>
                <w:rFonts w:ascii="Times New Roman" w:hAnsi="Times New Roman" w:cs="Times New Roman"/>
              </w:rPr>
              <w:t>Reporting &amp; Administration: Submit monthly/quarterly legal updates to management and maintain accurate legal documentation.</w:t>
            </w:r>
          </w:p>
          <w:p w14:paraId="45E6AE4E" w14:textId="77777777" w:rsidR="00F450C0" w:rsidRPr="003F22C0" w:rsidRDefault="00F450C0" w:rsidP="003F22C0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</w:rPr>
            </w:pPr>
            <w:r w:rsidRPr="003F22C0">
              <w:rPr>
                <w:b/>
                <w:bCs/>
              </w:rPr>
              <w:t>4. Expected Deliverables</w:t>
            </w:r>
          </w:p>
          <w:p w14:paraId="08B9048A" w14:textId="0D07208C" w:rsidR="007D2ECF" w:rsidRDefault="007436C7" w:rsidP="007D2ECF">
            <w:pPr>
              <w:pStyle w:val="ListBulle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3F22C0">
              <w:rPr>
                <w:rFonts w:ascii="Times New Roman" w:hAnsi="Times New Roman" w:cs="Times New Roman"/>
              </w:rPr>
              <w:t>Report</w:t>
            </w:r>
            <w:r w:rsidR="007D2ECF">
              <w:rPr>
                <w:rFonts w:ascii="Times New Roman" w:hAnsi="Times New Roman" w:cs="Times New Roman"/>
              </w:rPr>
              <w:t xml:space="preserve"> </w:t>
            </w:r>
            <w:r w:rsidRPr="003F22C0">
              <w:rPr>
                <w:rFonts w:ascii="Times New Roman" w:hAnsi="Times New Roman" w:cs="Times New Roman"/>
              </w:rPr>
              <w:t>within first two weeks outlining priorities and workflow</w:t>
            </w:r>
          </w:p>
          <w:p w14:paraId="35660510" w14:textId="77777777" w:rsidR="007D2ECF" w:rsidRDefault="007436C7" w:rsidP="007D2ECF">
            <w:pPr>
              <w:pStyle w:val="ListBulle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7D2ECF">
              <w:rPr>
                <w:rFonts w:ascii="Times New Roman" w:hAnsi="Times New Roman" w:cs="Times New Roman"/>
              </w:rPr>
              <w:t>Quarterly legal updates and activity reports</w:t>
            </w:r>
          </w:p>
          <w:p w14:paraId="24B33692" w14:textId="77777777" w:rsidR="007D2ECF" w:rsidRDefault="007436C7" w:rsidP="007D2ECF">
            <w:pPr>
              <w:pStyle w:val="ListBulle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7D2ECF">
              <w:rPr>
                <w:rFonts w:ascii="Times New Roman" w:hAnsi="Times New Roman" w:cs="Times New Roman"/>
              </w:rPr>
              <w:t>Copies of all drafted/revised contracts and MoUs</w:t>
            </w:r>
          </w:p>
          <w:p w14:paraId="5B3AA62D" w14:textId="77777777" w:rsidR="007D2ECF" w:rsidRDefault="007436C7" w:rsidP="007D2ECF">
            <w:pPr>
              <w:pStyle w:val="ListBulle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7D2ECF">
              <w:rPr>
                <w:rFonts w:ascii="Times New Roman" w:hAnsi="Times New Roman" w:cs="Times New Roman"/>
              </w:rPr>
              <w:t>Litigation file register with updates on ongoing cases</w:t>
            </w:r>
          </w:p>
          <w:p w14:paraId="6F4ADF67" w14:textId="77777777" w:rsidR="007D2ECF" w:rsidRDefault="007436C7" w:rsidP="007D2ECF">
            <w:pPr>
              <w:pStyle w:val="ListBulle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7D2ECF">
              <w:rPr>
                <w:rFonts w:ascii="Times New Roman" w:hAnsi="Times New Roman" w:cs="Times New Roman"/>
              </w:rPr>
              <w:t>Drafted legal opinions, memoranda, and policy documents</w:t>
            </w:r>
          </w:p>
          <w:p w14:paraId="231F47F1" w14:textId="2AEA083D" w:rsidR="007436C7" w:rsidRPr="007D2ECF" w:rsidRDefault="007436C7" w:rsidP="007D2ECF">
            <w:pPr>
              <w:pStyle w:val="ListBulle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7D2ECF">
              <w:rPr>
                <w:rFonts w:ascii="Times New Roman" w:hAnsi="Times New Roman" w:cs="Times New Roman"/>
              </w:rPr>
              <w:t>Training plan and materials for EPA staff</w:t>
            </w:r>
          </w:p>
          <w:p w14:paraId="7CFB5B6D" w14:textId="41BC6B1E" w:rsidR="00EC5D66" w:rsidRPr="003F22C0" w:rsidRDefault="00DD1A32" w:rsidP="003F22C0">
            <w:pPr>
              <w:spacing w:before="100" w:beforeAutospacing="1" w:after="100" w:afterAutospacing="1"/>
              <w:jc w:val="both"/>
              <w:outlineLvl w:val="2"/>
              <w:rPr>
                <w:rFonts w:eastAsiaTheme="majorEastAsia"/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C5D66" w:rsidRPr="003F22C0">
              <w:rPr>
                <w:b/>
                <w:bCs/>
              </w:rPr>
              <w:t>. </w:t>
            </w:r>
            <w:r w:rsidR="00EC5D66" w:rsidRPr="003F22C0">
              <w:rPr>
                <w:rFonts w:eastAsiaTheme="majorEastAsia"/>
                <w:b/>
                <w:bCs/>
              </w:rPr>
              <w:t>Qualifications and Experience</w:t>
            </w:r>
          </w:p>
          <w:p w14:paraId="0A59D409" w14:textId="77777777" w:rsidR="00CC095A" w:rsidRPr="003F22C0" w:rsidRDefault="00CC095A" w:rsidP="003F22C0">
            <w:pPr>
              <w:spacing w:before="100" w:beforeAutospacing="1" w:after="100" w:afterAutospacing="1"/>
              <w:jc w:val="both"/>
              <w:outlineLvl w:val="2"/>
              <w:rPr>
                <w:rFonts w:eastAsiaTheme="majorEastAsia"/>
                <w:b/>
                <w:bCs/>
              </w:rPr>
            </w:pPr>
            <w:r w:rsidRPr="003F22C0">
              <w:rPr>
                <w:rFonts w:eastAsiaTheme="majorEastAsia"/>
                <w:b/>
                <w:bCs/>
              </w:rPr>
              <w:t>Academic Qualification</w:t>
            </w:r>
          </w:p>
          <w:p w14:paraId="2EEAB225" w14:textId="77777777" w:rsidR="007D2ECF" w:rsidRDefault="007436C7" w:rsidP="007D2ECF">
            <w:pPr>
              <w:pStyle w:val="ListBulle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3F22C0">
              <w:rPr>
                <w:rFonts w:ascii="Times New Roman" w:hAnsi="Times New Roman" w:cs="Times New Roman"/>
              </w:rPr>
              <w:t xml:space="preserve">Education: </w:t>
            </w:r>
            <w:r w:rsidR="007D2ECF" w:rsidRPr="003F22C0">
              <w:rPr>
                <w:rFonts w:ascii="Times New Roman" w:hAnsi="Times New Roman" w:cs="Times New Roman"/>
              </w:rPr>
              <w:t>Bachelor’s degree in law</w:t>
            </w:r>
            <w:r w:rsidRPr="003F22C0">
              <w:rPr>
                <w:rFonts w:ascii="Times New Roman" w:hAnsi="Times New Roman" w:cs="Times New Roman"/>
              </w:rPr>
              <w:t xml:space="preserve"> (</w:t>
            </w:r>
            <w:r w:rsidR="007D2ECF" w:rsidRPr="003F22C0">
              <w:rPr>
                <w:rFonts w:ascii="Times New Roman" w:hAnsi="Times New Roman" w:cs="Times New Roman"/>
              </w:rPr>
              <w:t>LL. B</w:t>
            </w:r>
            <w:r w:rsidRPr="003F22C0">
              <w:rPr>
                <w:rFonts w:ascii="Times New Roman" w:hAnsi="Times New Roman" w:cs="Times New Roman"/>
              </w:rPr>
              <w:t>); admission to the Liberian Bar</w:t>
            </w:r>
          </w:p>
          <w:p w14:paraId="617805CD" w14:textId="77777777" w:rsidR="007D2ECF" w:rsidRDefault="007436C7" w:rsidP="007D2ECF">
            <w:pPr>
              <w:pStyle w:val="ListBulle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7D2ECF">
              <w:rPr>
                <w:rFonts w:ascii="Times New Roman" w:hAnsi="Times New Roman" w:cs="Times New Roman"/>
              </w:rPr>
              <w:t>Experience: Minimum 5 years practicing law, with corporate, public, or environmental law experience preferred</w:t>
            </w:r>
          </w:p>
          <w:p w14:paraId="60B0EF32" w14:textId="77777777" w:rsidR="007D2ECF" w:rsidRDefault="007436C7" w:rsidP="007D2ECF">
            <w:pPr>
              <w:pStyle w:val="ListBulle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7D2ECF">
              <w:rPr>
                <w:rFonts w:ascii="Times New Roman" w:hAnsi="Times New Roman" w:cs="Times New Roman"/>
              </w:rPr>
              <w:t>Technical Skills: Strong knowledge of Liberian legislation, advocacy and litigation expertise, contract drafting and negotiation, ADR/conflict resolution experience</w:t>
            </w:r>
          </w:p>
          <w:p w14:paraId="65E6543C" w14:textId="108BDD2E" w:rsidR="007436C7" w:rsidRPr="007D2ECF" w:rsidRDefault="007436C7" w:rsidP="007D2ECF">
            <w:pPr>
              <w:pStyle w:val="ListBulle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7D2ECF">
              <w:rPr>
                <w:rFonts w:ascii="Times New Roman" w:hAnsi="Times New Roman" w:cs="Times New Roman"/>
              </w:rPr>
              <w:t>Competencies: High integrity, analytical thinking, excellent communication, teamwork, and multi-tasking</w:t>
            </w:r>
          </w:p>
          <w:p w14:paraId="60030290" w14:textId="04B528E7" w:rsidR="007436C7" w:rsidRPr="007D2ECF" w:rsidRDefault="00DD1A32" w:rsidP="007D2ECF">
            <w:pPr>
              <w:pStyle w:val="Heading1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D2EC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6. </w:t>
            </w:r>
            <w:r w:rsidR="007436C7" w:rsidRPr="007D2EC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Functional Skills &amp; Competencies</w:t>
            </w:r>
          </w:p>
          <w:p w14:paraId="403D0120" w14:textId="77777777" w:rsidR="007D2ECF" w:rsidRDefault="007436C7" w:rsidP="007D2ECF">
            <w:pPr>
              <w:pStyle w:val="ListBullet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 w:rsidRPr="003F22C0">
              <w:rPr>
                <w:rFonts w:ascii="Times New Roman" w:hAnsi="Times New Roman" w:cs="Times New Roman"/>
              </w:rPr>
              <w:t>Excellent verbal and written communication and negotiation skills</w:t>
            </w:r>
          </w:p>
          <w:p w14:paraId="7DC4266B" w14:textId="77777777" w:rsidR="007D2ECF" w:rsidRDefault="00DD1A32" w:rsidP="007D2ECF">
            <w:pPr>
              <w:pStyle w:val="ListBullet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 w:rsidRPr="007D2ECF">
              <w:rPr>
                <w:rFonts w:ascii="Times New Roman" w:hAnsi="Times New Roman" w:cs="Times New Roman"/>
              </w:rPr>
              <w:t>Judgment</w:t>
            </w:r>
            <w:r w:rsidR="007436C7" w:rsidRPr="007D2ECF">
              <w:rPr>
                <w:rFonts w:ascii="Times New Roman" w:hAnsi="Times New Roman" w:cs="Times New Roman"/>
              </w:rPr>
              <w:t>, problem-solving, and analytical capabilities</w:t>
            </w:r>
          </w:p>
          <w:p w14:paraId="4363A8AC" w14:textId="77777777" w:rsidR="007D2ECF" w:rsidRDefault="007436C7" w:rsidP="007D2ECF">
            <w:pPr>
              <w:pStyle w:val="ListBullet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 w:rsidRPr="007D2ECF">
              <w:rPr>
                <w:rFonts w:ascii="Times New Roman" w:hAnsi="Times New Roman" w:cs="Times New Roman"/>
              </w:rPr>
              <w:t>Ability to work under pressure and handle confidential matters</w:t>
            </w:r>
          </w:p>
          <w:p w14:paraId="6DFEF633" w14:textId="0C88F6F0" w:rsidR="00442A3B" w:rsidRPr="007D2ECF" w:rsidRDefault="007436C7" w:rsidP="00DD1A32">
            <w:pPr>
              <w:pStyle w:val="ListBullet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 w:rsidRPr="007D2ECF">
              <w:rPr>
                <w:rFonts w:ascii="Times New Roman" w:hAnsi="Times New Roman" w:cs="Times New Roman"/>
              </w:rPr>
              <w:lastRenderedPageBreak/>
              <w:t>Commitment to ethics and environmental justice</w:t>
            </w:r>
          </w:p>
        </w:tc>
      </w:tr>
    </w:tbl>
    <w:p w14:paraId="1FAFECAF" w14:textId="77777777" w:rsidR="00442A3B" w:rsidRPr="007D2ECF" w:rsidRDefault="00442A3B" w:rsidP="003F22C0">
      <w:pPr>
        <w:jc w:val="both"/>
        <w:rPr>
          <w:sz w:val="2"/>
          <w:szCs w:val="2"/>
        </w:rPr>
      </w:pPr>
    </w:p>
    <w:p w14:paraId="478E322F" w14:textId="77777777" w:rsidR="00442A3B" w:rsidRPr="003F22C0" w:rsidRDefault="00442A3B" w:rsidP="003F22C0">
      <w:pPr>
        <w:jc w:val="both"/>
        <w:rPr>
          <w:b/>
          <w:bCs/>
        </w:rPr>
      </w:pPr>
    </w:p>
    <w:p w14:paraId="35281236" w14:textId="3CA3956F" w:rsidR="00442A3B" w:rsidRPr="003F22C0" w:rsidRDefault="00BF71BC" w:rsidP="003F22C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3F22C0">
        <w:rPr>
          <w:b/>
          <w:bCs/>
        </w:rPr>
        <w:t xml:space="preserve">Reporting &amp; Coordination 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442A3B" w:rsidRPr="003F22C0" w14:paraId="7F981F17" w14:textId="77777777" w:rsidTr="00EE5D82">
        <w:tc>
          <w:tcPr>
            <w:tcW w:w="10260" w:type="dxa"/>
          </w:tcPr>
          <w:p w14:paraId="4BFB37CA" w14:textId="1C40467D" w:rsidR="00442A3B" w:rsidRPr="003F22C0" w:rsidRDefault="00BF71BC" w:rsidP="003F22C0">
            <w:pPr>
              <w:jc w:val="both"/>
            </w:pPr>
            <w:r w:rsidRPr="003F22C0">
              <w:t xml:space="preserve">The Legal Officer will report to the Executive Director or Director of the EPA. </w:t>
            </w:r>
            <w:r w:rsidR="00442A3B" w:rsidRPr="003F22C0">
              <w:t xml:space="preserve">The EPA reserves the right to terminate the contract should the </w:t>
            </w:r>
            <w:r w:rsidR="007D2ECF">
              <w:t>contractor</w:t>
            </w:r>
            <w:r w:rsidR="00442A3B" w:rsidRPr="003F22C0">
              <w:t>’s performance fall below agreed standards or fail to meet t</w:t>
            </w:r>
            <w:r w:rsidRPr="003F22C0">
              <w:t>he agency/institution</w:t>
            </w:r>
            <w:r w:rsidR="00442A3B" w:rsidRPr="003F22C0">
              <w:t xml:space="preserve"> requirements.</w:t>
            </w:r>
          </w:p>
        </w:tc>
      </w:tr>
    </w:tbl>
    <w:p w14:paraId="09EDA5FA" w14:textId="77777777" w:rsidR="00442A3B" w:rsidRPr="007D2ECF" w:rsidRDefault="00442A3B" w:rsidP="003F22C0">
      <w:pPr>
        <w:jc w:val="both"/>
        <w:rPr>
          <w:sz w:val="12"/>
          <w:szCs w:val="12"/>
        </w:rPr>
      </w:pPr>
    </w:p>
    <w:p w14:paraId="7D051B98" w14:textId="77777777" w:rsidR="00442A3B" w:rsidRPr="003F22C0" w:rsidRDefault="00442A3B" w:rsidP="003F22C0">
      <w:pPr>
        <w:jc w:val="both"/>
      </w:pPr>
    </w:p>
    <w:p w14:paraId="480083C4" w14:textId="77777777" w:rsidR="00442A3B" w:rsidRPr="003F22C0" w:rsidRDefault="00442A3B" w:rsidP="003F22C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3F22C0">
        <w:rPr>
          <w:b/>
          <w:bCs/>
        </w:rPr>
        <w:t>SUBMISSION OF APPLICATION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442A3B" w:rsidRPr="003F22C0" w14:paraId="22621275" w14:textId="77777777" w:rsidTr="00EE5D82">
        <w:tc>
          <w:tcPr>
            <w:tcW w:w="10260" w:type="dxa"/>
          </w:tcPr>
          <w:p w14:paraId="56CBBF42" w14:textId="14C6E21E" w:rsidR="00442A3B" w:rsidRPr="003F22C0" w:rsidRDefault="00442A3B" w:rsidP="003F22C0">
            <w:pPr>
              <w:pStyle w:val="NormalWeb"/>
              <w:jc w:val="both"/>
            </w:pPr>
            <w:r w:rsidRPr="003F22C0">
              <w:t>Interested</w:t>
            </w:r>
            <w:r w:rsidR="00BF71BC" w:rsidRPr="003F22C0">
              <w:t xml:space="preserve"> </w:t>
            </w:r>
            <w:r w:rsidR="00DD1A32">
              <w:t>applicant</w:t>
            </w:r>
            <w:r w:rsidR="00BF71BC" w:rsidRPr="003F22C0">
              <w:t xml:space="preserve">s </w:t>
            </w:r>
            <w:r w:rsidRPr="003F22C0">
              <w:t>are invited to submit the following application package</w:t>
            </w:r>
            <w:r w:rsidR="008D58EC" w:rsidRPr="003F22C0">
              <w:t>, both hard and</w:t>
            </w:r>
            <w:r w:rsidRPr="003F22C0">
              <w:t xml:space="preserve"> electroni</w:t>
            </w:r>
            <w:r w:rsidR="008D58EC" w:rsidRPr="003F22C0">
              <w:t>c copies</w:t>
            </w:r>
            <w:r w:rsidRPr="003F22C0">
              <w:t>:</w:t>
            </w:r>
          </w:p>
          <w:p w14:paraId="4232CF40" w14:textId="17FD2B1D" w:rsidR="00BF71BC" w:rsidRPr="003F22C0" w:rsidRDefault="00BF71BC" w:rsidP="003F22C0">
            <w:pPr>
              <w:jc w:val="both"/>
            </w:pPr>
            <w:r w:rsidRPr="003F22C0">
              <w:t>Send Letter of Interest, CV, legal writing sample, and three (3) references. Deadline</w:t>
            </w:r>
            <w:r w:rsidRPr="007D2ECF">
              <w:t xml:space="preserve">: </w:t>
            </w:r>
            <w:r w:rsidR="00495952" w:rsidRPr="007D2ECF">
              <w:rPr>
                <w:color w:val="FF0000"/>
              </w:rPr>
              <w:t>4</w:t>
            </w:r>
            <w:r w:rsidR="00495952" w:rsidRPr="007D2ECF">
              <w:rPr>
                <w:b/>
                <w:bCs/>
                <w:color w:val="FF0000"/>
              </w:rPr>
              <w:t>:00 PM</w:t>
            </w:r>
            <w:r w:rsidR="00495952" w:rsidRPr="007D2ECF">
              <w:t xml:space="preserve">, </w:t>
            </w:r>
            <w:r w:rsidR="0032792A" w:rsidRPr="0032792A">
              <w:rPr>
                <w:b/>
                <w:bCs/>
                <w:color w:val="FF0000"/>
              </w:rPr>
              <w:t>February</w:t>
            </w:r>
            <w:r w:rsidR="00495952" w:rsidRPr="0032792A">
              <w:rPr>
                <w:b/>
                <w:bCs/>
                <w:color w:val="FF0000"/>
              </w:rPr>
              <w:t xml:space="preserve"> </w:t>
            </w:r>
            <w:r w:rsidR="0032792A">
              <w:rPr>
                <w:b/>
                <w:bCs/>
                <w:color w:val="FF0000"/>
              </w:rPr>
              <w:t>3</w:t>
            </w:r>
            <w:r w:rsidR="00495952" w:rsidRPr="007D2ECF">
              <w:rPr>
                <w:b/>
                <w:bCs/>
                <w:color w:val="FF0000"/>
              </w:rPr>
              <w:t>, 202</w:t>
            </w:r>
            <w:r w:rsidR="0032792A">
              <w:rPr>
                <w:b/>
                <w:bCs/>
                <w:color w:val="FF0000"/>
              </w:rPr>
              <w:t>6</w:t>
            </w:r>
            <w:r w:rsidR="00495952" w:rsidRPr="007D2ECF">
              <w:t>.</w:t>
            </w:r>
            <w:r w:rsidRPr="003F22C0">
              <w:t xml:space="preserve"> EPA reserves the right to shortlist and interview candidates.</w:t>
            </w:r>
          </w:p>
          <w:p w14:paraId="46476E54" w14:textId="34E3E438" w:rsidR="00A24DA0" w:rsidRPr="003F22C0" w:rsidRDefault="00A24DA0" w:rsidP="003F22C0">
            <w:pPr>
              <w:pStyle w:val="NormalWeb"/>
              <w:jc w:val="both"/>
            </w:pPr>
            <w:r w:rsidRPr="003F22C0">
              <w:t xml:space="preserve">All submissions must be sent </w:t>
            </w:r>
            <w:r w:rsidRPr="003F22C0">
              <w:rPr>
                <w:rStyle w:val="Strong"/>
                <w:rFonts w:eastAsiaTheme="majorEastAsia"/>
                <w:color w:val="FF3300"/>
              </w:rPr>
              <w:t>via email</w:t>
            </w:r>
            <w:r w:rsidRPr="003F22C0">
              <w:rPr>
                <w:rStyle w:val="Strong"/>
                <w:rFonts w:eastAsiaTheme="majorEastAsia"/>
              </w:rPr>
              <w:t xml:space="preserve"> </w:t>
            </w:r>
            <w:r w:rsidRPr="003F22C0">
              <w:t xml:space="preserve">to </w:t>
            </w:r>
            <w:r w:rsidR="00BF71BC" w:rsidRPr="003F22C0">
              <w:t xml:space="preserve"> </w:t>
            </w:r>
            <w:hyperlink r:id="rId7" w:history="1">
              <w:r w:rsidR="00BF71BC" w:rsidRPr="003F22C0">
                <w:rPr>
                  <w:rStyle w:val="Hyperlink"/>
                </w:rPr>
                <w:t>ptdoe@epa.gov.lr</w:t>
              </w:r>
            </w:hyperlink>
            <w:r w:rsidR="00BF71BC" w:rsidRPr="003F22C0">
              <w:t xml:space="preserve"> </w:t>
            </w:r>
            <w:r w:rsidRPr="003F22C0">
              <w:t>indicating their suitability for the post.</w:t>
            </w:r>
          </w:p>
          <w:p w14:paraId="534BD0A1" w14:textId="4FF3806D" w:rsidR="00442A3B" w:rsidRPr="003F22C0" w:rsidRDefault="00A24DA0" w:rsidP="003F22C0">
            <w:pPr>
              <w:jc w:val="both"/>
              <w:rPr>
                <w:rStyle w:val="Strong"/>
                <w:rFonts w:eastAsiaTheme="majorEastAsia"/>
              </w:rPr>
            </w:pPr>
            <w:r w:rsidRPr="003F22C0">
              <w:rPr>
                <w:rStyle w:val="Strong"/>
                <w:b w:val="0"/>
                <w:bCs w:val="0"/>
              </w:rPr>
              <w:t>Please indicate</w:t>
            </w:r>
            <w:r w:rsidRPr="003F22C0">
              <w:rPr>
                <w:rStyle w:val="Strong"/>
              </w:rPr>
              <w:t xml:space="preserve"> </w:t>
            </w:r>
            <w:r w:rsidR="00442A3B" w:rsidRPr="003F22C0">
              <w:rPr>
                <w:rStyle w:val="Strong"/>
                <w:rFonts w:eastAsiaTheme="majorEastAsia"/>
              </w:rPr>
              <w:t>“</w:t>
            </w:r>
            <w:r w:rsidR="00BF71BC" w:rsidRPr="003F22C0">
              <w:rPr>
                <w:rStyle w:val="Strong"/>
                <w:rFonts w:eastAsiaTheme="majorEastAsia"/>
              </w:rPr>
              <w:t>Legal Officer</w:t>
            </w:r>
            <w:r w:rsidRPr="003F22C0">
              <w:rPr>
                <w:b/>
              </w:rPr>
              <w:t xml:space="preserve">” </w:t>
            </w:r>
            <w:r w:rsidR="00BF71BC" w:rsidRPr="003F22C0">
              <w:rPr>
                <w:b/>
              </w:rPr>
              <w:t>Provide legal support to EPA departments to ensure compliance with national/international environmental regulations and strengthen EPA’s capacity in enforcement, litigation, contract</w:t>
            </w:r>
            <w:r w:rsidR="007D2ECF">
              <w:rPr>
                <w:b/>
              </w:rPr>
              <w:t>s</w:t>
            </w:r>
            <w:r w:rsidR="00BF71BC" w:rsidRPr="003F22C0">
              <w:rPr>
                <w:b/>
              </w:rPr>
              <w:t xml:space="preserve"> </w:t>
            </w:r>
            <w:r w:rsidR="00E9669D" w:rsidRPr="003F22C0">
              <w:rPr>
                <w:b/>
              </w:rPr>
              <w:t>draftin</w:t>
            </w:r>
            <w:r w:rsidR="00E9669D">
              <w:rPr>
                <w:b/>
              </w:rPr>
              <w:t>g</w:t>
            </w:r>
            <w:r w:rsidR="00BF71BC" w:rsidRPr="003F22C0">
              <w:rPr>
                <w:b/>
              </w:rPr>
              <w:t>, and dispute resolution</w:t>
            </w:r>
            <w:r w:rsidRPr="003F22C0">
              <w:rPr>
                <w:b/>
                <w:lang w:val="en-GB"/>
              </w:rPr>
              <w:t>,</w:t>
            </w:r>
            <w:r w:rsidRPr="003F22C0">
              <w:rPr>
                <w:rStyle w:val="Strong"/>
                <w:rFonts w:eastAsiaTheme="majorEastAsia"/>
              </w:rPr>
              <w:t xml:space="preserve"> </w:t>
            </w:r>
            <w:r w:rsidRPr="003F22C0">
              <w:rPr>
                <w:rStyle w:val="Strong"/>
                <w:rFonts w:eastAsiaTheme="majorEastAsia"/>
                <w:b w:val="0"/>
                <w:bCs w:val="0"/>
              </w:rPr>
              <w:t>in the subject line.</w:t>
            </w:r>
            <w:r w:rsidRPr="003F22C0">
              <w:rPr>
                <w:rStyle w:val="Strong"/>
                <w:rFonts w:eastAsiaTheme="majorEastAsia"/>
              </w:rPr>
              <w:t xml:space="preserve"> </w:t>
            </w:r>
          </w:p>
          <w:p w14:paraId="48E8F12C" w14:textId="77777777" w:rsidR="00BF71BC" w:rsidRPr="003F22C0" w:rsidRDefault="00BF71BC" w:rsidP="003F22C0">
            <w:pPr>
              <w:jc w:val="both"/>
              <w:rPr>
                <w:rStyle w:val="Strong"/>
                <w:rFonts w:eastAsiaTheme="majorEastAsia"/>
              </w:rPr>
            </w:pPr>
          </w:p>
          <w:p w14:paraId="2B78FEAD" w14:textId="77777777" w:rsidR="00BF71BC" w:rsidRPr="003F22C0" w:rsidRDefault="00BF71BC" w:rsidP="003F22C0">
            <w:pPr>
              <w:jc w:val="both"/>
              <w:rPr>
                <w:rStyle w:val="Strong"/>
                <w:b w:val="0"/>
                <w:bCs w:val="0"/>
              </w:rPr>
            </w:pPr>
          </w:p>
          <w:p w14:paraId="1E8F87A2" w14:textId="21F83B20" w:rsidR="00442A3B" w:rsidRPr="003F22C0" w:rsidRDefault="009A2F88" w:rsidP="003F22C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Pescee T. Doe</w:t>
            </w:r>
          </w:p>
          <w:p w14:paraId="246D48C4" w14:textId="73C79763" w:rsidR="00442A3B" w:rsidRPr="009A2F88" w:rsidRDefault="004145C5" w:rsidP="003F22C0">
            <w:pPr>
              <w:spacing w:line="276" w:lineRule="auto"/>
              <w:jc w:val="both"/>
              <w:rPr>
                <w:b/>
                <w:bCs/>
              </w:rPr>
            </w:pPr>
            <w:r w:rsidRPr="009A2F88">
              <w:rPr>
                <w:b/>
                <w:bCs/>
              </w:rPr>
              <w:t>Officer in Charge, Procurement Unit</w:t>
            </w:r>
          </w:p>
          <w:p w14:paraId="3A0DD6FF" w14:textId="49DBF13D" w:rsidR="00442A3B" w:rsidRPr="009A2F88" w:rsidRDefault="00442A3B" w:rsidP="003F22C0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9A2F88">
              <w:rPr>
                <w:b/>
                <w:bCs/>
              </w:rPr>
              <w:t xml:space="preserve">Environmental </w:t>
            </w:r>
            <w:r w:rsidR="004145C5" w:rsidRPr="009A2F88">
              <w:rPr>
                <w:b/>
                <w:bCs/>
              </w:rPr>
              <w:t>Protection</w:t>
            </w:r>
            <w:r w:rsidRPr="009A2F88">
              <w:rPr>
                <w:b/>
                <w:bCs/>
              </w:rPr>
              <w:t xml:space="preserve"> Agency</w:t>
            </w:r>
            <w:r w:rsidR="004145C5" w:rsidRPr="009A2F88">
              <w:rPr>
                <w:b/>
                <w:bCs/>
              </w:rPr>
              <w:t>/EPA</w:t>
            </w:r>
          </w:p>
          <w:p w14:paraId="3FFDC470" w14:textId="77777777" w:rsidR="00442A3B" w:rsidRPr="009A2F88" w:rsidRDefault="00442A3B" w:rsidP="003F22C0">
            <w:pPr>
              <w:spacing w:after="5" w:line="276" w:lineRule="auto"/>
              <w:jc w:val="both"/>
              <w:rPr>
                <w:b/>
                <w:bCs/>
              </w:rPr>
            </w:pPr>
            <w:r w:rsidRPr="009A2F88">
              <w:rPr>
                <w:b/>
                <w:bCs/>
              </w:rPr>
              <w:t>302-A Bright Building,</w:t>
            </w:r>
          </w:p>
          <w:p w14:paraId="0565C153" w14:textId="77777777" w:rsidR="00442A3B" w:rsidRPr="009A2F88" w:rsidRDefault="00442A3B" w:rsidP="003F22C0">
            <w:pPr>
              <w:spacing w:after="5" w:line="276" w:lineRule="auto"/>
              <w:jc w:val="both"/>
              <w:rPr>
                <w:b/>
                <w:bCs/>
              </w:rPr>
            </w:pPr>
            <w:r w:rsidRPr="009A2F88">
              <w:rPr>
                <w:b/>
                <w:bCs/>
              </w:rPr>
              <w:t xml:space="preserve">Old CID-Road, Mamba Point </w:t>
            </w:r>
          </w:p>
          <w:p w14:paraId="0C0D98D1" w14:textId="727FF02D" w:rsidR="00442A3B" w:rsidRPr="009A2F88" w:rsidRDefault="00442A3B" w:rsidP="003F22C0">
            <w:pPr>
              <w:spacing w:after="5" w:line="276" w:lineRule="auto"/>
              <w:jc w:val="both"/>
              <w:rPr>
                <w:b/>
                <w:bCs/>
              </w:rPr>
            </w:pPr>
            <w:r w:rsidRPr="009A2F88">
              <w:rPr>
                <w:b/>
                <w:bCs/>
              </w:rPr>
              <w:t xml:space="preserve">1000 Monrovia, 10 Liberia </w:t>
            </w:r>
          </w:p>
          <w:p w14:paraId="6A5AAE7C" w14:textId="1BFA8B4F" w:rsidR="00442A3B" w:rsidRPr="003F22C0" w:rsidRDefault="00442A3B" w:rsidP="003F22C0">
            <w:pPr>
              <w:pStyle w:val="NormalWeb"/>
              <w:jc w:val="both"/>
            </w:pPr>
            <w:r w:rsidRPr="003F22C0">
              <w:t xml:space="preserve">Only shortlisted candidates will be contacted. The selection process will follow the procurement procedures of the </w:t>
            </w:r>
            <w:r w:rsidRPr="003F22C0">
              <w:rPr>
                <w:rStyle w:val="Strong"/>
                <w:rFonts w:eastAsiaTheme="majorEastAsia"/>
              </w:rPr>
              <w:t>Enviro</w:t>
            </w:r>
            <w:r w:rsidR="008C19D9">
              <w:rPr>
                <w:rStyle w:val="Strong"/>
                <w:rFonts w:eastAsiaTheme="majorEastAsia"/>
              </w:rPr>
              <w:t>nmental Protection Agency (EPA)</w:t>
            </w:r>
            <w:r w:rsidRPr="003F22C0">
              <w:t>, ensuring transparency, competitiveness, and value for money.</w:t>
            </w:r>
          </w:p>
          <w:p w14:paraId="33E4BD77" w14:textId="7F80CD78" w:rsidR="00442A3B" w:rsidRPr="003F22C0" w:rsidRDefault="0047497C" w:rsidP="003F22C0">
            <w:pPr>
              <w:pStyle w:val="NormalWeb"/>
              <w:jc w:val="both"/>
              <w:rPr>
                <w:color w:val="EE0000"/>
              </w:rPr>
            </w:pPr>
            <w:r w:rsidRPr="003F22C0">
              <w:rPr>
                <w:rStyle w:val="Strong"/>
                <w:rFonts w:eastAsiaTheme="majorEastAsia"/>
                <w:color w:val="EE0000"/>
              </w:rPr>
              <w:t>Female</w:t>
            </w:r>
            <w:r w:rsidR="00442A3B" w:rsidRPr="003F22C0">
              <w:rPr>
                <w:rStyle w:val="Strong"/>
                <w:rFonts w:eastAsiaTheme="majorEastAsia"/>
                <w:color w:val="EE0000"/>
              </w:rPr>
              <w:t xml:space="preserve"> candidates</w:t>
            </w:r>
            <w:r w:rsidR="00E91D83" w:rsidRPr="003F22C0">
              <w:rPr>
                <w:rStyle w:val="Strong"/>
                <w:rFonts w:eastAsiaTheme="majorEastAsia"/>
                <w:color w:val="EE0000"/>
              </w:rPr>
              <w:t xml:space="preserve"> who meet the </w:t>
            </w:r>
            <w:r w:rsidRPr="003F22C0">
              <w:rPr>
                <w:rStyle w:val="Strong"/>
                <w:rFonts w:eastAsiaTheme="majorEastAsia"/>
                <w:color w:val="EE0000"/>
              </w:rPr>
              <w:t>requirements</w:t>
            </w:r>
            <w:r w:rsidR="00442A3B" w:rsidRPr="003F22C0">
              <w:rPr>
                <w:rStyle w:val="Strong"/>
                <w:rFonts w:eastAsiaTheme="majorEastAsia"/>
                <w:color w:val="EE0000"/>
              </w:rPr>
              <w:t xml:space="preserve"> are strongly encouraged to apply.</w:t>
            </w:r>
          </w:p>
          <w:p w14:paraId="69454B2E" w14:textId="365AB791" w:rsidR="00442A3B" w:rsidRPr="003F22C0" w:rsidRDefault="00442A3B" w:rsidP="00495952">
            <w:pPr>
              <w:jc w:val="both"/>
            </w:pPr>
            <w:r w:rsidRPr="003F22C0">
              <w:rPr>
                <w:rFonts w:eastAsia="Calibri"/>
                <w:b/>
              </w:rPr>
              <w:t>NOTE:</w:t>
            </w:r>
            <w:r w:rsidRPr="003F22C0">
              <w:rPr>
                <w:rFonts w:eastAsia="Calibri"/>
              </w:rPr>
              <w:t xml:space="preserve"> This information is posted on </w:t>
            </w:r>
            <w:hyperlink r:id="rId8" w:history="1">
              <w:r w:rsidRPr="003F22C0">
                <w:rPr>
                  <w:rStyle w:val="Hyperlink"/>
                  <w:rFonts w:eastAsia="Calibri"/>
                </w:rPr>
                <w:t>https://www.emansion.gov.lr</w:t>
              </w:r>
            </w:hyperlink>
            <w:r w:rsidRPr="003F22C0">
              <w:rPr>
                <w:rFonts w:eastAsia="Calibri"/>
              </w:rPr>
              <w:t xml:space="preserve">,  </w:t>
            </w:r>
            <w:hyperlink r:id="rId9" w:history="1">
              <w:r w:rsidRPr="003F22C0">
                <w:rPr>
                  <w:rStyle w:val="Hyperlink"/>
                  <w:rFonts w:eastAsia="Calibri"/>
                </w:rPr>
                <w:t>https://www.epa.gov.lr</w:t>
              </w:r>
            </w:hyperlink>
            <w:r w:rsidR="00495952">
              <w:rPr>
                <w:rFonts w:eastAsia="Calibri"/>
              </w:rPr>
              <w:t xml:space="preserve">, </w:t>
            </w:r>
            <w:r w:rsidRPr="003F22C0">
              <w:rPr>
                <w:rFonts w:eastAsia="Calibri"/>
              </w:rPr>
              <w:t xml:space="preserve"> and can be found in the News Newspaper. </w:t>
            </w:r>
          </w:p>
        </w:tc>
      </w:tr>
      <w:bookmarkEnd w:id="0"/>
    </w:tbl>
    <w:p w14:paraId="276AD7D0" w14:textId="77777777" w:rsidR="00442A3B" w:rsidRPr="003F22C0" w:rsidRDefault="00442A3B" w:rsidP="003F22C0">
      <w:pPr>
        <w:jc w:val="both"/>
      </w:pPr>
    </w:p>
    <w:p w14:paraId="6A6D1ED4" w14:textId="77777777" w:rsidR="00815DFD" w:rsidRPr="003F22C0" w:rsidRDefault="00815DFD" w:rsidP="003F22C0">
      <w:pPr>
        <w:jc w:val="both"/>
      </w:pPr>
    </w:p>
    <w:sectPr w:rsidR="00815DFD" w:rsidRPr="003F22C0" w:rsidSect="008C2C5B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352C" w14:textId="77777777" w:rsidR="00B857DD" w:rsidRDefault="00B857DD">
      <w:r>
        <w:separator/>
      </w:r>
    </w:p>
  </w:endnote>
  <w:endnote w:type="continuationSeparator" w:id="0">
    <w:p w14:paraId="222BE8BD" w14:textId="77777777" w:rsidR="00B857DD" w:rsidRDefault="00B8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A646" w14:textId="77777777" w:rsidR="008C2C5B" w:rsidRDefault="008C2C5B">
    <w:pPr>
      <w:pStyle w:val="Footer"/>
    </w:pPr>
  </w:p>
  <w:p w14:paraId="54A87829" w14:textId="77777777" w:rsidR="008C2C5B" w:rsidRDefault="008C2C5B">
    <w:pPr>
      <w:pStyle w:val="Footer"/>
    </w:pPr>
  </w:p>
  <w:p w14:paraId="5E16A797" w14:textId="77777777" w:rsidR="008C2C5B" w:rsidRDefault="008C2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234B" w14:textId="77777777" w:rsidR="00B857DD" w:rsidRDefault="00B857DD">
      <w:r>
        <w:separator/>
      </w:r>
    </w:p>
  </w:footnote>
  <w:footnote w:type="continuationSeparator" w:id="0">
    <w:p w14:paraId="5C16E667" w14:textId="77777777" w:rsidR="00B857DD" w:rsidRDefault="00B85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E018" w14:textId="70F26496" w:rsidR="008C2C5B" w:rsidRPr="00FF12A2" w:rsidRDefault="0023109A" w:rsidP="0023109A">
    <w:pPr>
      <w:jc w:val="center"/>
      <w:rPr>
        <w:b/>
        <w:color w:val="000000"/>
        <w:spacing w:val="-5"/>
        <w:lang w:val="en-ZA"/>
      </w:rPr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45678AE5" wp14:editId="501481B2">
          <wp:simplePos x="0" y="0"/>
          <wp:positionH relativeFrom="column">
            <wp:posOffset>5492750</wp:posOffset>
          </wp:positionH>
          <wp:positionV relativeFrom="paragraph">
            <wp:posOffset>-214630</wp:posOffset>
          </wp:positionV>
          <wp:extent cx="939800" cy="882650"/>
          <wp:effectExtent l="0" t="0" r="0" b="0"/>
          <wp:wrapNone/>
          <wp:docPr id="1938259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4480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0A33EDF" wp14:editId="5059873F">
          <wp:simplePos x="0" y="0"/>
          <wp:positionH relativeFrom="column">
            <wp:posOffset>-171450</wp:posOffset>
          </wp:positionH>
          <wp:positionV relativeFrom="paragraph">
            <wp:posOffset>-220980</wp:posOffset>
          </wp:positionV>
          <wp:extent cx="996950" cy="880110"/>
          <wp:effectExtent l="0" t="0" r="0" b="0"/>
          <wp:wrapNone/>
          <wp:docPr id="2677696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109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880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C5B" w:rsidRPr="00FF12A2">
      <w:rPr>
        <w:b/>
        <w:color w:val="000000"/>
        <w:spacing w:val="-5"/>
        <w:lang w:val="en-ZA"/>
      </w:rPr>
      <w:t>REPUBLIC OF LIBERIA</w:t>
    </w:r>
  </w:p>
  <w:p w14:paraId="00CBF8ED" w14:textId="4F6AFD35" w:rsidR="008C2C5B" w:rsidRPr="00FF12A2" w:rsidRDefault="008C2C5B" w:rsidP="0023109A">
    <w:pPr>
      <w:tabs>
        <w:tab w:val="left" w:pos="1040"/>
        <w:tab w:val="center" w:pos="4513"/>
      </w:tabs>
      <w:jc w:val="center"/>
      <w:rPr>
        <w:rFonts w:ascii="Arial Black" w:hAnsi="Arial Black"/>
        <w:b/>
        <w:bCs/>
        <w:color w:val="000000"/>
        <w:spacing w:val="-5"/>
        <w:lang w:val="en-ZA"/>
      </w:rPr>
    </w:pPr>
    <w:r w:rsidRPr="00FF12A2">
      <w:rPr>
        <w:b/>
        <w:bCs/>
        <w:color w:val="000000"/>
        <w:spacing w:val="-5"/>
        <w:lang w:val="en-ZA"/>
      </w:rPr>
      <w:t>ENVIRONMENTAL PROTECTION AGENCY (EPA)</w:t>
    </w:r>
  </w:p>
  <w:p w14:paraId="2C19477C" w14:textId="77777777" w:rsidR="008C2C5B" w:rsidRPr="003563A0" w:rsidRDefault="008C2C5B" w:rsidP="0023109A">
    <w:pPr>
      <w:jc w:val="center"/>
      <w:rPr>
        <w:b/>
        <w:bCs/>
        <w:color w:val="000000"/>
        <w:spacing w:val="-5"/>
        <w:lang w:val="pt-PT"/>
      </w:rPr>
    </w:pPr>
    <w:r w:rsidRPr="003563A0">
      <w:rPr>
        <w:b/>
        <w:bCs/>
        <w:color w:val="000000"/>
        <w:spacing w:val="-5"/>
        <w:lang w:val="pt-PT"/>
      </w:rPr>
      <w:t>1000 Monrovia, 10 Liberia</w:t>
    </w:r>
  </w:p>
  <w:p w14:paraId="108707C3" w14:textId="5680C4F3" w:rsidR="008C2C5B" w:rsidRDefault="008C2C5B" w:rsidP="0023109A">
    <w:pPr>
      <w:pBdr>
        <w:bottom w:val="single" w:sz="12" w:space="1" w:color="auto"/>
      </w:pBdr>
      <w:jc w:val="center"/>
      <w:rPr>
        <w:b/>
        <w:bCs/>
        <w:color w:val="000000"/>
        <w:spacing w:val="-5"/>
        <w:lang w:val="pt-PT"/>
      </w:rPr>
    </w:pPr>
    <w:r w:rsidRPr="003563A0">
      <w:rPr>
        <w:b/>
        <w:bCs/>
        <w:color w:val="000000"/>
        <w:spacing w:val="-5"/>
        <w:lang w:val="pt-PT"/>
      </w:rPr>
      <w:t>P.O. Box 4024</w:t>
    </w:r>
  </w:p>
  <w:p w14:paraId="07A2BD1F" w14:textId="77777777" w:rsidR="0023109A" w:rsidRDefault="0023109A" w:rsidP="0023109A">
    <w:pPr>
      <w:pBdr>
        <w:bottom w:val="single" w:sz="12" w:space="1" w:color="auto"/>
      </w:pBdr>
      <w:jc w:val="center"/>
      <w:rPr>
        <w:b/>
        <w:bCs/>
        <w:color w:val="000000"/>
        <w:spacing w:val="-5"/>
        <w:lang w:val="pt-PT"/>
      </w:rPr>
    </w:pPr>
  </w:p>
  <w:p w14:paraId="6D9DB574" w14:textId="77777777" w:rsidR="001808B3" w:rsidRDefault="001808B3" w:rsidP="0023109A">
    <w:pPr>
      <w:pBdr>
        <w:bottom w:val="single" w:sz="12" w:space="1" w:color="auto"/>
      </w:pBdr>
      <w:jc w:val="center"/>
      <w:rPr>
        <w:b/>
        <w:bCs/>
        <w:color w:val="000000"/>
        <w:spacing w:val="-5"/>
        <w:lang w:val="pt-PT"/>
      </w:rPr>
    </w:pPr>
  </w:p>
  <w:p w14:paraId="02549672" w14:textId="77777777" w:rsidR="001808B3" w:rsidRPr="0023109A" w:rsidRDefault="001808B3" w:rsidP="0023109A">
    <w:pPr>
      <w:pBdr>
        <w:bottom w:val="single" w:sz="12" w:space="1" w:color="auto"/>
      </w:pBdr>
      <w:jc w:val="center"/>
      <w:rPr>
        <w:b/>
        <w:bCs/>
        <w:color w:val="000000"/>
        <w:spacing w:val="-5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85A7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C15A0"/>
    <w:multiLevelType w:val="multilevel"/>
    <w:tmpl w:val="7F82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02C50"/>
    <w:multiLevelType w:val="multilevel"/>
    <w:tmpl w:val="7E16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57A03"/>
    <w:multiLevelType w:val="multilevel"/>
    <w:tmpl w:val="2CA2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778A5"/>
    <w:multiLevelType w:val="hybridMultilevel"/>
    <w:tmpl w:val="51048A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01806"/>
    <w:multiLevelType w:val="multilevel"/>
    <w:tmpl w:val="AD9A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16917"/>
    <w:multiLevelType w:val="hybridMultilevel"/>
    <w:tmpl w:val="A440C200"/>
    <w:lvl w:ilvl="0" w:tplc="1E68CFF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1E68CFF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A4717"/>
    <w:multiLevelType w:val="multilevel"/>
    <w:tmpl w:val="4CC2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9B5938"/>
    <w:multiLevelType w:val="multilevel"/>
    <w:tmpl w:val="106E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16049"/>
    <w:multiLevelType w:val="hybridMultilevel"/>
    <w:tmpl w:val="36A01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D3F0E"/>
    <w:multiLevelType w:val="multilevel"/>
    <w:tmpl w:val="6AD0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9A745E"/>
    <w:multiLevelType w:val="multilevel"/>
    <w:tmpl w:val="27C8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DA1F01"/>
    <w:multiLevelType w:val="multilevel"/>
    <w:tmpl w:val="28DE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C2A79"/>
    <w:multiLevelType w:val="multilevel"/>
    <w:tmpl w:val="5F48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BC1EC2"/>
    <w:multiLevelType w:val="multilevel"/>
    <w:tmpl w:val="77FE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3C3558"/>
    <w:multiLevelType w:val="multilevel"/>
    <w:tmpl w:val="38A8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336DBD"/>
    <w:multiLevelType w:val="multilevel"/>
    <w:tmpl w:val="64C6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253B96"/>
    <w:multiLevelType w:val="multilevel"/>
    <w:tmpl w:val="331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2C61C3"/>
    <w:multiLevelType w:val="hybridMultilevel"/>
    <w:tmpl w:val="66F42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B0382"/>
    <w:multiLevelType w:val="hybridMultilevel"/>
    <w:tmpl w:val="9ACC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A76DD"/>
    <w:multiLevelType w:val="hybridMultilevel"/>
    <w:tmpl w:val="D4D8ED70"/>
    <w:lvl w:ilvl="0" w:tplc="BB542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02A0A"/>
    <w:multiLevelType w:val="hybridMultilevel"/>
    <w:tmpl w:val="F6084E04"/>
    <w:lvl w:ilvl="0" w:tplc="9B0A34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D7115B"/>
    <w:multiLevelType w:val="multilevel"/>
    <w:tmpl w:val="2B0CA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F13975"/>
    <w:multiLevelType w:val="multilevel"/>
    <w:tmpl w:val="E886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916A58"/>
    <w:multiLevelType w:val="multilevel"/>
    <w:tmpl w:val="022E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62369A"/>
    <w:multiLevelType w:val="multilevel"/>
    <w:tmpl w:val="D30E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3E0808"/>
    <w:multiLevelType w:val="multilevel"/>
    <w:tmpl w:val="846E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F61D89"/>
    <w:multiLevelType w:val="multilevel"/>
    <w:tmpl w:val="A87A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D20057"/>
    <w:multiLevelType w:val="multilevel"/>
    <w:tmpl w:val="4E48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C80528"/>
    <w:multiLevelType w:val="multilevel"/>
    <w:tmpl w:val="DA42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D429A5"/>
    <w:multiLevelType w:val="multilevel"/>
    <w:tmpl w:val="AA3A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CC5708"/>
    <w:multiLevelType w:val="hybridMultilevel"/>
    <w:tmpl w:val="B8DEAAFA"/>
    <w:lvl w:ilvl="0" w:tplc="755839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1D3C41"/>
    <w:multiLevelType w:val="multilevel"/>
    <w:tmpl w:val="9832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6F1227"/>
    <w:multiLevelType w:val="multilevel"/>
    <w:tmpl w:val="5170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7A5D60"/>
    <w:multiLevelType w:val="hybridMultilevel"/>
    <w:tmpl w:val="FF16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4A2444"/>
    <w:multiLevelType w:val="multilevel"/>
    <w:tmpl w:val="0ECA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2308B1"/>
    <w:multiLevelType w:val="hybridMultilevel"/>
    <w:tmpl w:val="538ED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756591"/>
    <w:multiLevelType w:val="hybridMultilevel"/>
    <w:tmpl w:val="05144D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B7D6E"/>
    <w:multiLevelType w:val="multilevel"/>
    <w:tmpl w:val="9690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645FA5"/>
    <w:multiLevelType w:val="hybridMultilevel"/>
    <w:tmpl w:val="04906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145D7B"/>
    <w:multiLevelType w:val="multilevel"/>
    <w:tmpl w:val="0512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0D6854"/>
    <w:multiLevelType w:val="multilevel"/>
    <w:tmpl w:val="704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997C2C"/>
    <w:multiLevelType w:val="multilevel"/>
    <w:tmpl w:val="F644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9E3890"/>
    <w:multiLevelType w:val="hybridMultilevel"/>
    <w:tmpl w:val="5A1C60B4"/>
    <w:lvl w:ilvl="0" w:tplc="764E19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65D96"/>
    <w:multiLevelType w:val="multilevel"/>
    <w:tmpl w:val="29B8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7A0F4F"/>
    <w:multiLevelType w:val="multilevel"/>
    <w:tmpl w:val="DC46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4C4AD4"/>
    <w:multiLevelType w:val="multilevel"/>
    <w:tmpl w:val="B31A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4C5B43"/>
    <w:multiLevelType w:val="hybridMultilevel"/>
    <w:tmpl w:val="9D761FC2"/>
    <w:lvl w:ilvl="0" w:tplc="4ED24872">
      <w:start w:val="1"/>
      <w:numFmt w:val="decimal"/>
      <w:lvlText w:val="%1."/>
      <w:lvlJc w:val="left"/>
      <w:pPr>
        <w:ind w:left="144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29"/>
  </w:num>
  <w:num w:numId="3">
    <w:abstractNumId w:val="37"/>
  </w:num>
  <w:num w:numId="4">
    <w:abstractNumId w:val="44"/>
  </w:num>
  <w:num w:numId="5">
    <w:abstractNumId w:val="43"/>
  </w:num>
  <w:num w:numId="6">
    <w:abstractNumId w:val="39"/>
  </w:num>
  <w:num w:numId="7">
    <w:abstractNumId w:val="10"/>
  </w:num>
  <w:num w:numId="8">
    <w:abstractNumId w:val="13"/>
  </w:num>
  <w:num w:numId="9">
    <w:abstractNumId w:val="17"/>
  </w:num>
  <w:num w:numId="10">
    <w:abstractNumId w:val="24"/>
  </w:num>
  <w:num w:numId="11">
    <w:abstractNumId w:val="25"/>
  </w:num>
  <w:num w:numId="12">
    <w:abstractNumId w:val="46"/>
  </w:num>
  <w:num w:numId="13">
    <w:abstractNumId w:val="26"/>
  </w:num>
  <w:num w:numId="14">
    <w:abstractNumId w:val="2"/>
  </w:num>
  <w:num w:numId="15">
    <w:abstractNumId w:val="14"/>
  </w:num>
  <w:num w:numId="16">
    <w:abstractNumId w:val="42"/>
  </w:num>
  <w:num w:numId="17">
    <w:abstractNumId w:val="12"/>
  </w:num>
  <w:num w:numId="18">
    <w:abstractNumId w:val="40"/>
  </w:num>
  <w:num w:numId="19">
    <w:abstractNumId w:val="21"/>
  </w:num>
  <w:num w:numId="20">
    <w:abstractNumId w:val="35"/>
  </w:num>
  <w:num w:numId="21">
    <w:abstractNumId w:val="8"/>
  </w:num>
  <w:num w:numId="22">
    <w:abstractNumId w:val="7"/>
  </w:num>
  <w:num w:numId="23">
    <w:abstractNumId w:val="28"/>
  </w:num>
  <w:num w:numId="24">
    <w:abstractNumId w:val="5"/>
  </w:num>
  <w:num w:numId="25">
    <w:abstractNumId w:val="11"/>
  </w:num>
  <w:num w:numId="26">
    <w:abstractNumId w:val="16"/>
  </w:num>
  <w:num w:numId="27">
    <w:abstractNumId w:val="31"/>
  </w:num>
  <w:num w:numId="28">
    <w:abstractNumId w:val="47"/>
  </w:num>
  <w:num w:numId="29">
    <w:abstractNumId w:val="45"/>
  </w:num>
  <w:num w:numId="30">
    <w:abstractNumId w:val="33"/>
  </w:num>
  <w:num w:numId="31">
    <w:abstractNumId w:val="27"/>
  </w:num>
  <w:num w:numId="32">
    <w:abstractNumId w:val="41"/>
  </w:num>
  <w:num w:numId="33">
    <w:abstractNumId w:val="23"/>
  </w:num>
  <w:num w:numId="34">
    <w:abstractNumId w:val="3"/>
  </w:num>
  <w:num w:numId="35">
    <w:abstractNumId w:val="38"/>
  </w:num>
  <w:num w:numId="36">
    <w:abstractNumId w:val="30"/>
  </w:num>
  <w:num w:numId="37">
    <w:abstractNumId w:val="32"/>
  </w:num>
  <w:num w:numId="38">
    <w:abstractNumId w:val="15"/>
  </w:num>
  <w:num w:numId="39">
    <w:abstractNumId w:val="22"/>
  </w:num>
  <w:num w:numId="40">
    <w:abstractNumId w:val="1"/>
  </w:num>
  <w:num w:numId="41">
    <w:abstractNumId w:val="9"/>
  </w:num>
  <w:num w:numId="42">
    <w:abstractNumId w:val="6"/>
  </w:num>
  <w:num w:numId="43">
    <w:abstractNumId w:val="4"/>
  </w:num>
  <w:num w:numId="44">
    <w:abstractNumId w:val="0"/>
  </w:num>
  <w:num w:numId="45">
    <w:abstractNumId w:val="18"/>
  </w:num>
  <w:num w:numId="46">
    <w:abstractNumId w:val="34"/>
  </w:num>
  <w:num w:numId="47">
    <w:abstractNumId w:val="3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zMDcAUqaWFoYGZko6SsGpxcWZ+XkgBYa1AABKZXAsAAAA"/>
  </w:docVars>
  <w:rsids>
    <w:rsidRoot w:val="008C2C5B"/>
    <w:rsid w:val="00014F59"/>
    <w:rsid w:val="00075502"/>
    <w:rsid w:val="000E0BA5"/>
    <w:rsid w:val="00106C0F"/>
    <w:rsid w:val="001223AC"/>
    <w:rsid w:val="001224BA"/>
    <w:rsid w:val="001411FB"/>
    <w:rsid w:val="001511AC"/>
    <w:rsid w:val="0015374D"/>
    <w:rsid w:val="001808B3"/>
    <w:rsid w:val="001A09BE"/>
    <w:rsid w:val="001C6AF9"/>
    <w:rsid w:val="001D6AD7"/>
    <w:rsid w:val="001D7059"/>
    <w:rsid w:val="001E6FD2"/>
    <w:rsid w:val="0021353F"/>
    <w:rsid w:val="002175B1"/>
    <w:rsid w:val="002203BE"/>
    <w:rsid w:val="00226C4F"/>
    <w:rsid w:val="0023109A"/>
    <w:rsid w:val="00233573"/>
    <w:rsid w:val="002770E3"/>
    <w:rsid w:val="002A564A"/>
    <w:rsid w:val="002E25D2"/>
    <w:rsid w:val="00310338"/>
    <w:rsid w:val="00322818"/>
    <w:rsid w:val="0032598D"/>
    <w:rsid w:val="0032792A"/>
    <w:rsid w:val="003563A0"/>
    <w:rsid w:val="0036432E"/>
    <w:rsid w:val="00370553"/>
    <w:rsid w:val="003D128E"/>
    <w:rsid w:val="003D23E8"/>
    <w:rsid w:val="003D42C3"/>
    <w:rsid w:val="003D5ECE"/>
    <w:rsid w:val="003E6EC3"/>
    <w:rsid w:val="003F22C0"/>
    <w:rsid w:val="004145C5"/>
    <w:rsid w:val="0042701D"/>
    <w:rsid w:val="00442A3B"/>
    <w:rsid w:val="00442ED4"/>
    <w:rsid w:val="0045051A"/>
    <w:rsid w:val="0047497C"/>
    <w:rsid w:val="00476000"/>
    <w:rsid w:val="0048029C"/>
    <w:rsid w:val="00495952"/>
    <w:rsid w:val="004A1E74"/>
    <w:rsid w:val="004B64D1"/>
    <w:rsid w:val="004D31E0"/>
    <w:rsid w:val="00531A5B"/>
    <w:rsid w:val="00565CD2"/>
    <w:rsid w:val="005C011F"/>
    <w:rsid w:val="005C5B5F"/>
    <w:rsid w:val="005F5DCD"/>
    <w:rsid w:val="00667577"/>
    <w:rsid w:val="00675A61"/>
    <w:rsid w:val="006924AD"/>
    <w:rsid w:val="006C694A"/>
    <w:rsid w:val="006F4890"/>
    <w:rsid w:val="007163F2"/>
    <w:rsid w:val="00723916"/>
    <w:rsid w:val="007327B6"/>
    <w:rsid w:val="00740DEE"/>
    <w:rsid w:val="007436C7"/>
    <w:rsid w:val="00746AFA"/>
    <w:rsid w:val="00771C60"/>
    <w:rsid w:val="00786E4E"/>
    <w:rsid w:val="007A5487"/>
    <w:rsid w:val="007D2ECF"/>
    <w:rsid w:val="007D7B47"/>
    <w:rsid w:val="008025E5"/>
    <w:rsid w:val="00802B6D"/>
    <w:rsid w:val="00805E67"/>
    <w:rsid w:val="00815DFD"/>
    <w:rsid w:val="008310E5"/>
    <w:rsid w:val="00833960"/>
    <w:rsid w:val="0083780F"/>
    <w:rsid w:val="00863E65"/>
    <w:rsid w:val="00863FD7"/>
    <w:rsid w:val="0086778C"/>
    <w:rsid w:val="00876ED0"/>
    <w:rsid w:val="00882E68"/>
    <w:rsid w:val="008B4576"/>
    <w:rsid w:val="008C19D9"/>
    <w:rsid w:val="008C2C5B"/>
    <w:rsid w:val="008C7CEF"/>
    <w:rsid w:val="008D58EC"/>
    <w:rsid w:val="008E1BF6"/>
    <w:rsid w:val="009012A9"/>
    <w:rsid w:val="00903133"/>
    <w:rsid w:val="00907508"/>
    <w:rsid w:val="009654E8"/>
    <w:rsid w:val="00985989"/>
    <w:rsid w:val="009A2F88"/>
    <w:rsid w:val="009A6C5A"/>
    <w:rsid w:val="009E4CBE"/>
    <w:rsid w:val="00A1488C"/>
    <w:rsid w:val="00A24DA0"/>
    <w:rsid w:val="00A431E9"/>
    <w:rsid w:val="00A43A4E"/>
    <w:rsid w:val="00A746D8"/>
    <w:rsid w:val="00A75571"/>
    <w:rsid w:val="00A91179"/>
    <w:rsid w:val="00A92234"/>
    <w:rsid w:val="00AB3DF7"/>
    <w:rsid w:val="00AC6769"/>
    <w:rsid w:val="00AF45C9"/>
    <w:rsid w:val="00AF5E8B"/>
    <w:rsid w:val="00B02983"/>
    <w:rsid w:val="00B036A2"/>
    <w:rsid w:val="00B05BAB"/>
    <w:rsid w:val="00B21F67"/>
    <w:rsid w:val="00B2352C"/>
    <w:rsid w:val="00B30089"/>
    <w:rsid w:val="00B42439"/>
    <w:rsid w:val="00B4643C"/>
    <w:rsid w:val="00B75CD1"/>
    <w:rsid w:val="00B857DD"/>
    <w:rsid w:val="00BD50B5"/>
    <w:rsid w:val="00BD5B03"/>
    <w:rsid w:val="00BF6971"/>
    <w:rsid w:val="00BF71BC"/>
    <w:rsid w:val="00C23583"/>
    <w:rsid w:val="00C7251F"/>
    <w:rsid w:val="00CC095A"/>
    <w:rsid w:val="00D055DC"/>
    <w:rsid w:val="00D21BDB"/>
    <w:rsid w:val="00D47738"/>
    <w:rsid w:val="00D61F16"/>
    <w:rsid w:val="00D6596B"/>
    <w:rsid w:val="00D72B75"/>
    <w:rsid w:val="00D745ED"/>
    <w:rsid w:val="00DD1A32"/>
    <w:rsid w:val="00E01BAB"/>
    <w:rsid w:val="00E2624B"/>
    <w:rsid w:val="00E72F2D"/>
    <w:rsid w:val="00E91D83"/>
    <w:rsid w:val="00E9669D"/>
    <w:rsid w:val="00EC10D5"/>
    <w:rsid w:val="00EC5D66"/>
    <w:rsid w:val="00EF3E68"/>
    <w:rsid w:val="00F31861"/>
    <w:rsid w:val="00F450C0"/>
    <w:rsid w:val="00F77536"/>
    <w:rsid w:val="00FA5DD3"/>
    <w:rsid w:val="00FC2604"/>
    <w:rsid w:val="00FC58D7"/>
    <w:rsid w:val="00FD19BC"/>
    <w:rsid w:val="00FF11C2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F75B4"/>
  <w15:docId w15:val="{24FB97A2-FF77-4399-B805-D5A89462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2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2C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C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C5B"/>
    <w:rPr>
      <w:i/>
      <w:iCs/>
      <w:color w:val="404040" w:themeColor="text1" w:themeTint="BF"/>
    </w:rPr>
  </w:style>
  <w:style w:type="paragraph" w:styleId="ListParagraph">
    <w:name w:val="List Paragraph"/>
    <w:aliases w:val="List Paragraph1,Project Profile name,Paragraphe de liste1,Numbered paragraph,Paragraphe de liste,Medium Grid 1 - Accent 21,List Paragraph (numbered (a)),Numbered List Paragraph,References,ReferencesCxSpLast,Table/Figure Heading,En tête 1"/>
    <w:basedOn w:val="Normal"/>
    <w:link w:val="ListParagraphChar"/>
    <w:uiPriority w:val="34"/>
    <w:qFormat/>
    <w:rsid w:val="008C2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C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C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C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C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Project Profile name Char,Paragraphe de liste1 Char,Numbered paragraph Char,Paragraphe de liste Char,Medium Grid 1 - Accent 21 Char,List Paragraph (numbered (a)) Char,Numbered List Paragraph Char,References Char"/>
    <w:link w:val="ListParagraph"/>
    <w:uiPriority w:val="34"/>
    <w:qFormat/>
    <w:rsid w:val="008C2C5B"/>
  </w:style>
  <w:style w:type="paragraph" w:styleId="NormalWeb">
    <w:name w:val="Normal (Web)"/>
    <w:basedOn w:val="Normal"/>
    <w:uiPriority w:val="99"/>
    <w:unhideWhenUsed/>
    <w:rsid w:val="008C2C5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C2C5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2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C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2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C5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C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916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3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2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9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9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9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7436C7"/>
    <w:pPr>
      <w:numPr>
        <w:numId w:val="44"/>
      </w:numPr>
      <w:spacing w:after="160" w:line="276" w:lineRule="auto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nsion.gov.l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tdoe@epa.gov.l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pa.gov.l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Nimely Chea, Jr.</dc:creator>
  <cp:keywords/>
  <dc:description/>
  <cp:lastModifiedBy>PC</cp:lastModifiedBy>
  <cp:revision>15</cp:revision>
  <dcterms:created xsi:type="dcterms:W3CDTF">2025-11-27T12:45:00Z</dcterms:created>
  <dcterms:modified xsi:type="dcterms:W3CDTF">2026-01-17T12:51:00Z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c9523cc6-800e-467f-af75-b8903c437ec0</vt:lpwstr>
  </property>
</Properties>
</file>